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41D77C" w14:textId="77777777" w:rsidR="005266F6" w:rsidRDefault="00000000">
      <w:pPr>
        <w:spacing w:after="120"/>
        <w:jc w:val="center"/>
      </w:pPr>
      <w:r>
        <w:rPr>
          <w:noProof/>
        </w:rPr>
        <w:drawing>
          <wp:inline distT="0" distB="0" distL="0" distR="0" wp14:anchorId="1044A5F1" wp14:editId="349ED5F5">
            <wp:extent cx="2743200" cy="13070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ch_logo(2).png"/>
                    <pic:cNvPicPr/>
                  </pic:nvPicPr>
                  <pic:blipFill>
                    <a:blip r:embed="rId8"/>
                    <a:stretch>
                      <a:fillRect/>
                    </a:stretch>
                  </pic:blipFill>
                  <pic:spPr>
                    <a:xfrm>
                      <a:off x="0" y="0"/>
                      <a:ext cx="2743200" cy="1307054"/>
                    </a:xfrm>
                    <a:prstGeom prst="rect">
                      <a:avLst/>
                    </a:prstGeom>
                  </pic:spPr>
                </pic:pic>
              </a:graphicData>
            </a:graphic>
          </wp:inline>
        </w:drawing>
      </w:r>
    </w:p>
    <w:p w14:paraId="56F4A04A" w14:textId="77777777" w:rsidR="005266F6" w:rsidRDefault="00000000">
      <w:pPr>
        <w:spacing w:after="100" w:line="259" w:lineRule="auto"/>
        <w:jc w:val="center"/>
      </w:pPr>
      <w:r>
        <w:rPr>
          <w:b/>
          <w:color w:val="00B0B9"/>
          <w:sz w:val="24"/>
        </w:rPr>
        <w:t>COPILOT PRODUCTION SOURCE</w:t>
      </w:r>
    </w:p>
    <w:p w14:paraId="01B62003" w14:textId="77777777" w:rsidR="005266F6" w:rsidRDefault="00000000">
      <w:pPr>
        <w:spacing w:after="100" w:line="259" w:lineRule="auto"/>
        <w:jc w:val="center"/>
      </w:pPr>
      <w:r>
        <w:rPr>
          <w:b/>
          <w:color w:val="1D4289"/>
          <w:sz w:val="54"/>
        </w:rPr>
        <w:t>Students with Disabilities:</w:t>
      </w:r>
      <w:r>
        <w:rPr>
          <w:b/>
          <w:color w:val="1D4289"/>
          <w:sz w:val="54"/>
        </w:rPr>
        <w:br/>
        <w:t>College Transition</w:t>
      </w:r>
    </w:p>
    <w:p w14:paraId="42F6C07F" w14:textId="77777777" w:rsidR="005266F6" w:rsidRDefault="00000000">
      <w:pPr>
        <w:spacing w:line="259" w:lineRule="auto"/>
        <w:jc w:val="center"/>
      </w:pPr>
      <w:r>
        <w:rPr>
          <w:color w:val="24364B"/>
          <w:sz w:val="24"/>
        </w:rPr>
        <w:t>What counselors need to know about the shift from high-school supports to college access</w:t>
      </w:r>
    </w:p>
    <w:tbl>
      <w:tblPr>
        <w:tblW w:w="0" w:type="auto"/>
        <w:jc w:val="center"/>
        <w:tblLayout w:type="fixed"/>
        <w:tblLook w:val="04A0" w:firstRow="1" w:lastRow="0" w:firstColumn="1" w:lastColumn="0" w:noHBand="0" w:noVBand="1"/>
      </w:tblPr>
      <w:tblGrid>
        <w:gridCol w:w="3456"/>
        <w:gridCol w:w="3456"/>
        <w:gridCol w:w="3456"/>
      </w:tblGrid>
      <w:tr w:rsidR="005266F6" w14:paraId="6DDD999F" w14:textId="77777777">
        <w:trPr>
          <w:jc w:val="center"/>
        </w:trPr>
        <w:tc>
          <w:tcPr>
            <w:tcW w:w="3456" w:type="dxa"/>
            <w:shd w:val="clear" w:color="auto" w:fill="1D4289"/>
            <w:tcMar>
              <w:top w:w="100" w:type="dxa"/>
              <w:left w:w="120" w:type="dxa"/>
              <w:bottom w:w="100" w:type="dxa"/>
              <w:right w:w="120" w:type="dxa"/>
            </w:tcMar>
            <w:vAlign w:val="center"/>
          </w:tcPr>
          <w:p w14:paraId="0F43A4D4" w14:textId="77777777" w:rsidR="005266F6" w:rsidRDefault="00000000">
            <w:pPr>
              <w:spacing w:after="0" w:line="259" w:lineRule="auto"/>
              <w:jc w:val="center"/>
            </w:pPr>
            <w:r>
              <w:rPr>
                <w:b/>
                <w:color w:val="FFFFFF"/>
                <w:sz w:val="18"/>
              </w:rPr>
              <w:t>AUDIENCE</w:t>
            </w:r>
            <w:r>
              <w:rPr>
                <w:b/>
                <w:color w:val="FFFFFF"/>
                <w:sz w:val="20"/>
              </w:rPr>
              <w:t>Delaware high school counselors</w:t>
            </w:r>
          </w:p>
        </w:tc>
        <w:tc>
          <w:tcPr>
            <w:tcW w:w="3456" w:type="dxa"/>
            <w:shd w:val="clear" w:color="auto" w:fill="00B0B9"/>
            <w:tcMar>
              <w:top w:w="100" w:type="dxa"/>
              <w:left w:w="120" w:type="dxa"/>
              <w:bottom w:w="100" w:type="dxa"/>
              <w:right w:w="120" w:type="dxa"/>
            </w:tcMar>
            <w:vAlign w:val="center"/>
          </w:tcPr>
          <w:p w14:paraId="31171795" w14:textId="77777777" w:rsidR="005266F6" w:rsidRDefault="00000000">
            <w:pPr>
              <w:spacing w:after="0" w:line="259" w:lineRule="auto"/>
              <w:jc w:val="center"/>
            </w:pPr>
            <w:r>
              <w:rPr>
                <w:b/>
                <w:color w:val="FFFFFF"/>
                <w:sz w:val="18"/>
              </w:rPr>
              <w:t>TARGET</w:t>
            </w:r>
            <w:r>
              <w:rPr>
                <w:b/>
                <w:color w:val="FFFFFF"/>
                <w:sz w:val="20"/>
              </w:rPr>
              <w:t>2:25–2:45</w:t>
            </w:r>
          </w:p>
        </w:tc>
        <w:tc>
          <w:tcPr>
            <w:tcW w:w="3456" w:type="dxa"/>
            <w:shd w:val="clear" w:color="auto" w:fill="FF6720"/>
            <w:tcMar>
              <w:top w:w="100" w:type="dxa"/>
              <w:left w:w="120" w:type="dxa"/>
              <w:bottom w:w="100" w:type="dxa"/>
              <w:right w:w="120" w:type="dxa"/>
            </w:tcMar>
            <w:vAlign w:val="center"/>
          </w:tcPr>
          <w:p w14:paraId="5DF07C4E" w14:textId="77777777" w:rsidR="005266F6" w:rsidRDefault="00000000">
            <w:pPr>
              <w:spacing w:after="0" w:line="259" w:lineRule="auto"/>
              <w:jc w:val="center"/>
            </w:pPr>
            <w:r>
              <w:rPr>
                <w:b/>
                <w:color w:val="FFFFFF"/>
                <w:sz w:val="18"/>
              </w:rPr>
              <w:t>FORMAT</w:t>
            </w:r>
            <w:r>
              <w:rPr>
                <w:b/>
                <w:color w:val="FFFFFF"/>
                <w:sz w:val="20"/>
              </w:rPr>
              <w:t>16:9 professional microlearning</w:t>
            </w:r>
          </w:p>
        </w:tc>
      </w:tr>
    </w:tbl>
    <w:p w14:paraId="695B4811" w14:textId="77777777" w:rsidR="005266F6" w:rsidRDefault="00000000">
      <w:pPr>
        <w:spacing w:before="180" w:after="0" w:line="259" w:lineRule="auto"/>
      </w:pPr>
      <w:r>
        <w:rPr>
          <w:b/>
          <w:color w:val="1D4289"/>
          <w:sz w:val="36"/>
        </w:rPr>
        <w:t>Production intent</w:t>
      </w:r>
    </w:p>
    <w:p w14:paraId="6DE8B62D" w14:textId="77777777" w:rsidR="005266F6" w:rsidRDefault="00000000">
      <w:pPr>
        <w:spacing w:after="100" w:line="259" w:lineRule="auto"/>
      </w:pPr>
      <w:r>
        <w:rPr>
          <w:color w:val="24364B"/>
          <w:sz w:val="22"/>
        </w:rPr>
        <w:t>Train counselors on the most important transition shift: an IEP or 504 Plan does not automatically continue as a college accommodation plan. The student generally takes the lead by locating the college accessibility office, asking about its process, providing what the institution requires, and following through to activate approved supports.</w:t>
      </w:r>
    </w:p>
    <w:p w14:paraId="13A1BBCF" w14:textId="77777777" w:rsidR="005266F6" w:rsidRDefault="00000000">
      <w:pPr>
        <w:spacing w:before="180" w:after="0" w:line="259" w:lineRule="auto"/>
      </w:pPr>
      <w:r>
        <w:rPr>
          <w:b/>
          <w:color w:val="00B0B9"/>
          <w:sz w:val="26"/>
        </w:rPr>
        <w:t>Locked series identity</w:t>
      </w:r>
    </w:p>
    <w:p w14:paraId="3EAEB769" w14:textId="77777777" w:rsidR="005266F6" w:rsidRDefault="00000000">
      <w:pPr>
        <w:pStyle w:val="ListBullet"/>
        <w:spacing w:after="40" w:line="259" w:lineRule="auto"/>
      </w:pPr>
      <w:r>
        <w:rPr>
          <w:color w:val="24364B"/>
        </w:rPr>
        <w:t>Use the supplied Launch Into Your Future logo accurately.</w:t>
      </w:r>
    </w:p>
    <w:p w14:paraId="4FBF0E5C" w14:textId="77777777" w:rsidR="005266F6" w:rsidRDefault="00000000">
      <w:pPr>
        <w:pStyle w:val="ListBullet"/>
        <w:spacing w:after="40" w:line="259" w:lineRule="auto"/>
      </w:pPr>
      <w:r>
        <w:rPr>
          <w:color w:val="24364B"/>
        </w:rPr>
        <w:t>Open Sans. Palette: #1D4289 blue, #00B0B9 teal, #FF6720 orange; #009F4D green and #FFB81C gold selectively. No purple-dominant template.</w:t>
      </w:r>
    </w:p>
    <w:p w14:paraId="6F96C9BE" w14:textId="77777777" w:rsidR="005266F6" w:rsidRDefault="00000000">
      <w:pPr>
        <w:pStyle w:val="ListBullet"/>
        <w:spacing w:after="40" w:line="259" w:lineRule="auto"/>
      </w:pPr>
      <w:r>
        <w:rPr>
          <w:color w:val="24364B"/>
        </w:rPr>
        <w:t>Use the Video 01 series architecture: title opener → hook → understand it → advise it → navigate it → Your Next Move → Keep Exploring → common sign-off.</w:t>
      </w:r>
    </w:p>
    <w:p w14:paraId="06C67490" w14:textId="77777777" w:rsidR="005266F6" w:rsidRDefault="00000000">
      <w:pPr>
        <w:pStyle w:val="ListBullet"/>
        <w:spacing w:after="40" w:line="259" w:lineRule="auto"/>
      </w:pPr>
      <w:r>
        <w:rPr>
          <w:color w:val="24364B"/>
        </w:rPr>
        <w:t>Final sign-off: “Launch Into Your Future. Every student. A next step. A way forward.”</w:t>
      </w:r>
    </w:p>
    <w:p w14:paraId="0672796E" w14:textId="77777777" w:rsidR="005266F6" w:rsidRDefault="00000000">
      <w:r>
        <w:br w:type="page"/>
      </w:r>
    </w:p>
    <w:p w14:paraId="70A91E84" w14:textId="77777777" w:rsidR="005266F6" w:rsidRDefault="00000000">
      <w:pPr>
        <w:spacing w:before="180" w:after="0" w:line="259" w:lineRule="auto"/>
      </w:pPr>
      <w:r>
        <w:rPr>
          <w:b/>
          <w:color w:val="1D4289"/>
          <w:sz w:val="36"/>
        </w:rPr>
        <w:lastRenderedPageBreak/>
        <w:t>Approved narration — use closely</w:t>
      </w:r>
    </w:p>
    <w:p w14:paraId="23049894" w14:textId="77777777" w:rsidR="005266F6" w:rsidRDefault="00000000">
      <w:pPr>
        <w:spacing w:after="120" w:line="259" w:lineRule="auto"/>
      </w:pPr>
      <w:r>
        <w:rPr>
          <w:b/>
          <w:color w:val="00B0B9"/>
          <w:sz w:val="20"/>
        </w:rPr>
        <w:t>OPEN / HOOK</w:t>
      </w:r>
      <w:r>
        <w:rPr>
          <w:color w:val="24364B"/>
        </w:rPr>
        <w:t>One of the biggest college-transition surprises for students with disabilities is this: the supports they had in high school do not simply follow them to college. An IEP or 504 Plan can help show what worked before, but college accommodations use a different process. Here’s what counselors need to know.</w:t>
      </w:r>
    </w:p>
    <w:p w14:paraId="025E2B87" w14:textId="77777777" w:rsidR="005266F6" w:rsidRDefault="00000000">
      <w:pPr>
        <w:spacing w:after="120" w:line="259" w:lineRule="auto"/>
      </w:pPr>
      <w:r>
        <w:rPr>
          <w:b/>
          <w:color w:val="00B0B9"/>
          <w:sz w:val="20"/>
        </w:rPr>
        <w:t>WHAT CHANGES</w:t>
      </w:r>
      <w:r>
        <w:rPr>
          <w:color w:val="24364B"/>
        </w:rPr>
        <w:t>In high school, the school system has an active role in identifying and supporting eligible students. In college, the student generally takes the lead. The student chooses whether to disclose a disability, contacts the college accessibility or disability-services office, follows that institution’s process, and participates in the review of reasonable accommodations.</w:t>
      </w:r>
    </w:p>
    <w:p w14:paraId="71B891A3" w14:textId="77777777" w:rsidR="005266F6" w:rsidRDefault="00000000">
      <w:pPr>
        <w:spacing w:after="120" w:line="259" w:lineRule="auto"/>
      </w:pPr>
      <w:r>
        <w:rPr>
          <w:b/>
          <w:color w:val="00B0B9"/>
          <w:sz w:val="20"/>
        </w:rPr>
        <w:t>THE IEP / 504 DISTINCTION</w:t>
      </w:r>
      <w:r>
        <w:rPr>
          <w:color w:val="24364B"/>
        </w:rPr>
        <w:t>An IEP does not continue in college, and a 504 Plan does not automatically create college accommodations. Those records may still be useful history. But each college decides what information it needs and reviews the student’s request through its own process.</w:t>
      </w:r>
    </w:p>
    <w:p w14:paraId="50B811E1" w14:textId="77777777" w:rsidR="005266F6" w:rsidRDefault="00000000">
      <w:pPr>
        <w:spacing w:after="120" w:line="259" w:lineRule="auto"/>
      </w:pPr>
      <w:r>
        <w:rPr>
          <w:b/>
          <w:color w:val="00B0B9"/>
          <w:sz w:val="20"/>
        </w:rPr>
        <w:t>START EARLY</w:t>
      </w:r>
      <w:r>
        <w:rPr>
          <w:color w:val="24364B"/>
        </w:rPr>
        <w:t>That is why students should compare accessibility services before making a final college choice. Ask: What office handles accommodations? What documentation or information is requested? Are there separate processes or timelines for housing, testing, orientation, or other access needs?</w:t>
      </w:r>
    </w:p>
    <w:p w14:paraId="4092B24A" w14:textId="77777777" w:rsidR="005266F6" w:rsidRDefault="00000000">
      <w:pPr>
        <w:spacing w:after="120" w:line="259" w:lineRule="auto"/>
      </w:pPr>
      <w:r>
        <w:rPr>
          <w:b/>
          <w:color w:val="00B0B9"/>
          <w:sz w:val="20"/>
        </w:rPr>
        <w:t>STUDENT ROLE</w:t>
      </w:r>
      <w:r>
        <w:rPr>
          <w:color w:val="24364B"/>
        </w:rPr>
        <w:t>The goal is not to make the student handle everything alone. It is to build self-advocacy before graduation. Practice explaining which supports have helped, asking questions, organizing records, and communicating directly with the college office.</w:t>
      </w:r>
    </w:p>
    <w:p w14:paraId="56CE9AA5" w14:textId="77777777" w:rsidR="005266F6" w:rsidRDefault="00000000">
      <w:pPr>
        <w:spacing w:after="120" w:line="259" w:lineRule="auto"/>
      </w:pPr>
      <w:r>
        <w:rPr>
          <w:b/>
          <w:color w:val="00B0B9"/>
          <w:sz w:val="20"/>
        </w:rPr>
        <w:t>COUNSELOR ROLE</w:t>
      </w:r>
      <w:r>
        <w:rPr>
          <w:color w:val="24364B"/>
        </w:rPr>
        <w:t>Counselors help students prepare; the college makes accommodation decisions. Help the student find the correct office, gather useful records, compare processes, and identify the next action. Do not promise that a high-school accommodation will be approved in the same form at college.</w:t>
      </w:r>
    </w:p>
    <w:p w14:paraId="4F0F9D02" w14:textId="77777777" w:rsidR="005266F6" w:rsidRDefault="00000000">
      <w:pPr>
        <w:spacing w:after="120" w:line="259" w:lineRule="auto"/>
      </w:pPr>
      <w:r>
        <w:rPr>
          <w:b/>
          <w:color w:val="00B0B9"/>
          <w:sz w:val="20"/>
        </w:rPr>
        <w:t>NEXT MOVE</w:t>
      </w:r>
      <w:r>
        <w:rPr>
          <w:color w:val="24364B"/>
        </w:rPr>
        <w:t>For a student who may need college accommodations, start with one likely college. Find its accessibility office, ask what the student should gather and when the process can begin, and save the official contact information.</w:t>
      </w:r>
    </w:p>
    <w:p w14:paraId="2507333D" w14:textId="77777777" w:rsidR="005266F6" w:rsidRDefault="00000000">
      <w:pPr>
        <w:spacing w:after="120" w:line="259" w:lineRule="auto"/>
      </w:pPr>
      <w:r>
        <w:rPr>
          <w:b/>
          <w:color w:val="00B0B9"/>
          <w:sz w:val="20"/>
        </w:rPr>
        <w:t>RESOURCES / SIGN-OFF</w:t>
      </w:r>
      <w:r>
        <w:rPr>
          <w:color w:val="24364B"/>
        </w:rPr>
        <w:t>Keep exploring with Delaware Student Success, the student’s college accessibility office, and the U.S. Department of Education’s postsecondary disability guidance. Launch Into Your Future. Every student. A next step. A way forward.</w:t>
      </w:r>
    </w:p>
    <w:p w14:paraId="20457903" w14:textId="77777777" w:rsidR="005266F6" w:rsidRDefault="00000000">
      <w:pPr>
        <w:spacing w:before="180" w:after="0" w:line="259" w:lineRule="auto"/>
      </w:pPr>
      <w:r>
        <w:rPr>
          <w:b/>
          <w:color w:val="FF6720"/>
          <w:sz w:val="26"/>
        </w:rPr>
        <w:t>Factual guardrails</w:t>
      </w:r>
    </w:p>
    <w:p w14:paraId="2440375E" w14:textId="77777777" w:rsidR="005266F6" w:rsidRDefault="00000000">
      <w:pPr>
        <w:pStyle w:val="ListBullet"/>
        <w:spacing w:after="40" w:line="259" w:lineRule="auto"/>
      </w:pPr>
      <w:r>
        <w:rPr>
          <w:color w:val="24364B"/>
        </w:rPr>
        <w:t>Do not say an IEP or 504 Plan automatically transfers to college.</w:t>
      </w:r>
    </w:p>
    <w:p w14:paraId="4E98CB5E" w14:textId="77777777" w:rsidR="005266F6" w:rsidRDefault="00000000">
      <w:pPr>
        <w:pStyle w:val="ListBullet"/>
        <w:spacing w:after="40" w:line="259" w:lineRule="auto"/>
      </w:pPr>
      <w:r>
        <w:rPr>
          <w:color w:val="24364B"/>
        </w:rPr>
        <w:t>Do not say a student must disclose a disability during admission. To request accommodations, the student contacts the institution’s designated accessibility/disability office and follows its process.</w:t>
      </w:r>
    </w:p>
    <w:p w14:paraId="56BEB428" w14:textId="77777777" w:rsidR="005266F6" w:rsidRDefault="00000000">
      <w:pPr>
        <w:pStyle w:val="ListBullet"/>
        <w:spacing w:after="40" w:line="259" w:lineRule="auto"/>
      </w:pPr>
      <w:r>
        <w:rPr>
          <w:color w:val="24364B"/>
        </w:rPr>
        <w:t>Documentation standards, request procedures, timelines, and approved accommodations vary by institution and student.</w:t>
      </w:r>
    </w:p>
    <w:p w14:paraId="6D1248A8" w14:textId="77777777" w:rsidR="005266F6" w:rsidRDefault="00000000">
      <w:pPr>
        <w:pStyle w:val="ListBullet"/>
        <w:spacing w:after="40" w:line="259" w:lineRule="auto"/>
      </w:pPr>
      <w:r>
        <w:rPr>
          <w:color w:val="24364B"/>
        </w:rPr>
        <w:t>Reasonable academic adjustments and auxiliary aids may be available, but essential academic/program requirements may still apply.</w:t>
      </w:r>
    </w:p>
    <w:p w14:paraId="717A44F9" w14:textId="77777777" w:rsidR="005266F6" w:rsidRDefault="00000000">
      <w:pPr>
        <w:pStyle w:val="ListBullet"/>
        <w:spacing w:after="40" w:line="259" w:lineRule="auto"/>
      </w:pPr>
      <w:r>
        <w:rPr>
          <w:color w:val="24364B"/>
        </w:rPr>
        <w:t>Do not promise a particular accommodation or imply the high-school counselor decides the college outcome.</w:t>
      </w:r>
    </w:p>
    <w:p w14:paraId="7AB4EC87" w14:textId="77777777" w:rsidR="005266F6" w:rsidRDefault="00000000">
      <w:pPr>
        <w:pStyle w:val="ListBullet"/>
        <w:spacing w:after="40" w:line="259" w:lineRule="auto"/>
      </w:pPr>
      <w:r>
        <w:rPr>
          <w:color w:val="24364B"/>
        </w:rPr>
        <w:t>Use “college accessibility office/services” unless an institution’s formal office name is being shown. Do not confuse college disability services with Delaware Division of Vocational Rehabilitation.</w:t>
      </w:r>
    </w:p>
    <w:p w14:paraId="09E302CA" w14:textId="77777777" w:rsidR="005266F6" w:rsidRDefault="00000000">
      <w:r>
        <w:br w:type="page"/>
      </w:r>
    </w:p>
    <w:p w14:paraId="64EEA9B7" w14:textId="77777777" w:rsidR="005266F6" w:rsidRDefault="00000000">
      <w:pPr>
        <w:spacing w:before="180" w:after="0" w:line="259" w:lineRule="auto"/>
      </w:pPr>
      <w:r>
        <w:rPr>
          <w:b/>
          <w:color w:val="1D4289"/>
          <w:sz w:val="36"/>
        </w:rPr>
        <w:lastRenderedPageBreak/>
        <w:t>Directed visual plan — literal, respectful, Clipchamp-friendly</w:t>
      </w:r>
    </w:p>
    <w:tbl>
      <w:tblPr>
        <w:tblW w:w="0" w:type="auto"/>
        <w:jc w:val="center"/>
        <w:tblLayout w:type="fixed"/>
        <w:tblLook w:val="04A0" w:firstRow="1" w:lastRow="0" w:firstColumn="1" w:lastColumn="0" w:noHBand="0" w:noVBand="1"/>
      </w:tblPr>
      <w:tblGrid>
        <w:gridCol w:w="3456"/>
        <w:gridCol w:w="3456"/>
        <w:gridCol w:w="3456"/>
      </w:tblGrid>
      <w:tr w:rsidR="005266F6" w14:paraId="5204354A" w14:textId="77777777">
        <w:trPr>
          <w:jc w:val="center"/>
        </w:trPr>
        <w:tc>
          <w:tcPr>
            <w:tcW w:w="3456" w:type="dxa"/>
            <w:shd w:val="clear" w:color="auto" w:fill="1D4289"/>
            <w:tcMar>
              <w:top w:w="100" w:type="dxa"/>
              <w:left w:w="120" w:type="dxa"/>
              <w:bottom w:w="100" w:type="dxa"/>
              <w:right w:w="120" w:type="dxa"/>
            </w:tcMar>
          </w:tcPr>
          <w:p w14:paraId="32F1C35F" w14:textId="77777777" w:rsidR="005266F6" w:rsidRDefault="00000000">
            <w:pPr>
              <w:spacing w:after="0" w:line="259" w:lineRule="auto"/>
            </w:pPr>
            <w:r>
              <w:rPr>
                <w:b/>
                <w:color w:val="FFFFFF"/>
                <w:sz w:val="18"/>
              </w:rPr>
              <w:t>TIME</w:t>
            </w:r>
          </w:p>
        </w:tc>
        <w:tc>
          <w:tcPr>
            <w:tcW w:w="3456" w:type="dxa"/>
            <w:shd w:val="clear" w:color="auto" w:fill="1D4289"/>
            <w:tcMar>
              <w:top w:w="100" w:type="dxa"/>
              <w:left w:w="120" w:type="dxa"/>
              <w:bottom w:w="100" w:type="dxa"/>
              <w:right w:w="120" w:type="dxa"/>
            </w:tcMar>
          </w:tcPr>
          <w:p w14:paraId="7FE0F0F2" w14:textId="77777777" w:rsidR="005266F6" w:rsidRDefault="00000000">
            <w:pPr>
              <w:spacing w:after="0" w:line="259" w:lineRule="auto"/>
            </w:pPr>
            <w:r>
              <w:rPr>
                <w:b/>
                <w:color w:val="FFFFFF"/>
                <w:sz w:val="18"/>
              </w:rPr>
              <w:t>BEAT</w:t>
            </w:r>
          </w:p>
        </w:tc>
        <w:tc>
          <w:tcPr>
            <w:tcW w:w="3456" w:type="dxa"/>
            <w:shd w:val="clear" w:color="auto" w:fill="1D4289"/>
            <w:tcMar>
              <w:top w:w="100" w:type="dxa"/>
              <w:left w:w="120" w:type="dxa"/>
              <w:bottom w:w="100" w:type="dxa"/>
              <w:right w:w="120" w:type="dxa"/>
            </w:tcMar>
          </w:tcPr>
          <w:p w14:paraId="73886128" w14:textId="77777777" w:rsidR="005266F6" w:rsidRDefault="00000000">
            <w:pPr>
              <w:spacing w:after="0" w:line="259" w:lineRule="auto"/>
            </w:pPr>
            <w:r>
              <w:rPr>
                <w:b/>
                <w:color w:val="FFFFFF"/>
                <w:sz w:val="18"/>
              </w:rPr>
              <w:t>VISUAL DIRECTION</w:t>
            </w:r>
          </w:p>
        </w:tc>
      </w:tr>
      <w:tr w:rsidR="005266F6" w14:paraId="0895ADA8" w14:textId="77777777">
        <w:trPr>
          <w:jc w:val="center"/>
        </w:trPr>
        <w:tc>
          <w:tcPr>
            <w:tcW w:w="3456" w:type="dxa"/>
            <w:shd w:val="clear" w:color="auto" w:fill="F3F7FA"/>
            <w:tcMar>
              <w:top w:w="80" w:type="dxa"/>
              <w:left w:w="100" w:type="dxa"/>
              <w:bottom w:w="80" w:type="dxa"/>
              <w:right w:w="100" w:type="dxa"/>
            </w:tcMar>
            <w:vAlign w:val="center"/>
          </w:tcPr>
          <w:p w14:paraId="067D382B" w14:textId="77777777" w:rsidR="005266F6" w:rsidRDefault="00000000">
            <w:pPr>
              <w:spacing w:after="0" w:line="259" w:lineRule="auto"/>
            </w:pPr>
            <w:r>
              <w:rPr>
                <w:color w:val="24364B"/>
                <w:sz w:val="17"/>
              </w:rPr>
              <w:t>0:00–0:07</w:t>
            </w:r>
          </w:p>
        </w:tc>
        <w:tc>
          <w:tcPr>
            <w:tcW w:w="3456" w:type="dxa"/>
            <w:shd w:val="clear" w:color="auto" w:fill="F3F7FA"/>
            <w:tcMar>
              <w:top w:w="80" w:type="dxa"/>
              <w:left w:w="100" w:type="dxa"/>
              <w:bottom w:w="80" w:type="dxa"/>
              <w:right w:w="100" w:type="dxa"/>
            </w:tcMar>
            <w:vAlign w:val="center"/>
          </w:tcPr>
          <w:p w14:paraId="0CE08CC3" w14:textId="77777777" w:rsidR="005266F6" w:rsidRDefault="00000000">
            <w:pPr>
              <w:spacing w:after="0" w:line="259" w:lineRule="auto"/>
            </w:pPr>
            <w:r>
              <w:rPr>
                <w:b/>
                <w:color w:val="1D4289"/>
                <w:sz w:val="17"/>
              </w:rPr>
              <w:t>SERIES OPENER</w:t>
            </w:r>
          </w:p>
        </w:tc>
        <w:tc>
          <w:tcPr>
            <w:tcW w:w="3456" w:type="dxa"/>
            <w:shd w:val="clear" w:color="auto" w:fill="F3F7FA"/>
            <w:tcMar>
              <w:top w:w="80" w:type="dxa"/>
              <w:left w:w="100" w:type="dxa"/>
              <w:bottom w:w="80" w:type="dxa"/>
              <w:right w:w="100" w:type="dxa"/>
            </w:tcMar>
            <w:vAlign w:val="center"/>
          </w:tcPr>
          <w:p w14:paraId="1D84BEBA" w14:textId="77777777" w:rsidR="005266F6" w:rsidRDefault="00000000">
            <w:pPr>
              <w:spacing w:after="0" w:line="259" w:lineRule="auto"/>
            </w:pPr>
            <w:r>
              <w:rPr>
                <w:color w:val="24364B"/>
                <w:sz w:val="17"/>
              </w:rPr>
              <w:t>Launch logo + COUNSELOR QUICK GUIDE + STUDENTS WITH DISABILITIES: COLLEGE TRANSITION + What counselors need to know. Brand graphics only.</w:t>
            </w:r>
          </w:p>
        </w:tc>
      </w:tr>
      <w:tr w:rsidR="005266F6" w14:paraId="39516FF8" w14:textId="77777777">
        <w:trPr>
          <w:jc w:val="center"/>
        </w:trPr>
        <w:tc>
          <w:tcPr>
            <w:tcW w:w="3456" w:type="dxa"/>
            <w:tcMar>
              <w:top w:w="80" w:type="dxa"/>
              <w:left w:w="100" w:type="dxa"/>
              <w:bottom w:w="80" w:type="dxa"/>
              <w:right w:w="100" w:type="dxa"/>
            </w:tcMar>
            <w:vAlign w:val="center"/>
          </w:tcPr>
          <w:p w14:paraId="7133AF77" w14:textId="77777777" w:rsidR="005266F6" w:rsidRDefault="00000000">
            <w:pPr>
              <w:spacing w:after="0" w:line="259" w:lineRule="auto"/>
            </w:pPr>
            <w:r>
              <w:rPr>
                <w:color w:val="24364B"/>
                <w:sz w:val="17"/>
              </w:rPr>
              <w:t>0:07–0:25</w:t>
            </w:r>
          </w:p>
        </w:tc>
        <w:tc>
          <w:tcPr>
            <w:tcW w:w="3456" w:type="dxa"/>
            <w:tcMar>
              <w:top w:w="80" w:type="dxa"/>
              <w:left w:w="100" w:type="dxa"/>
              <w:bottom w:w="80" w:type="dxa"/>
              <w:right w:w="100" w:type="dxa"/>
            </w:tcMar>
            <w:vAlign w:val="center"/>
          </w:tcPr>
          <w:p w14:paraId="66DF533A" w14:textId="77777777" w:rsidR="005266F6" w:rsidRDefault="00000000">
            <w:pPr>
              <w:spacing w:after="0" w:line="259" w:lineRule="auto"/>
            </w:pPr>
            <w:r>
              <w:rPr>
                <w:b/>
                <w:color w:val="1D4289"/>
                <w:sz w:val="17"/>
              </w:rPr>
              <w:t>HOOK</w:t>
            </w:r>
          </w:p>
        </w:tc>
        <w:tc>
          <w:tcPr>
            <w:tcW w:w="3456" w:type="dxa"/>
            <w:tcMar>
              <w:top w:w="80" w:type="dxa"/>
              <w:left w:w="100" w:type="dxa"/>
              <w:bottom w:w="80" w:type="dxa"/>
              <w:right w:w="100" w:type="dxa"/>
            </w:tcMar>
            <w:vAlign w:val="center"/>
          </w:tcPr>
          <w:p w14:paraId="2088C099" w14:textId="77777777" w:rsidR="005266F6" w:rsidRDefault="00000000">
            <w:pPr>
              <w:spacing w:after="0" w:line="259" w:lineRule="auto"/>
            </w:pPr>
            <w:r>
              <w:rPr>
                <w:color w:val="24364B"/>
                <w:sz w:val="17"/>
              </w:rPr>
              <w:t>Respectful college-bound student/counselor conversation, medium-wide horizontal. Then simple contrast graphic: HIGH SCHOOL SUPPORTS ≠ AUTOMATIC COLLEGE ACCOMMODATIONS.</w:t>
            </w:r>
          </w:p>
        </w:tc>
      </w:tr>
      <w:tr w:rsidR="005266F6" w14:paraId="6238FF5F" w14:textId="77777777">
        <w:trPr>
          <w:jc w:val="center"/>
        </w:trPr>
        <w:tc>
          <w:tcPr>
            <w:tcW w:w="3456" w:type="dxa"/>
            <w:shd w:val="clear" w:color="auto" w:fill="F3F7FA"/>
            <w:tcMar>
              <w:top w:w="80" w:type="dxa"/>
              <w:left w:w="100" w:type="dxa"/>
              <w:bottom w:w="80" w:type="dxa"/>
              <w:right w:w="100" w:type="dxa"/>
            </w:tcMar>
            <w:vAlign w:val="center"/>
          </w:tcPr>
          <w:p w14:paraId="04415464" w14:textId="77777777" w:rsidR="005266F6" w:rsidRDefault="00000000">
            <w:pPr>
              <w:spacing w:after="0" w:line="259" w:lineRule="auto"/>
            </w:pPr>
            <w:r>
              <w:rPr>
                <w:color w:val="24364B"/>
                <w:sz w:val="17"/>
              </w:rPr>
              <w:t>0:25–0:52</w:t>
            </w:r>
          </w:p>
        </w:tc>
        <w:tc>
          <w:tcPr>
            <w:tcW w:w="3456" w:type="dxa"/>
            <w:shd w:val="clear" w:color="auto" w:fill="F3F7FA"/>
            <w:tcMar>
              <w:top w:w="80" w:type="dxa"/>
              <w:left w:w="100" w:type="dxa"/>
              <w:bottom w:w="80" w:type="dxa"/>
              <w:right w:w="100" w:type="dxa"/>
            </w:tcMar>
            <w:vAlign w:val="center"/>
          </w:tcPr>
          <w:p w14:paraId="594F24E4" w14:textId="77777777" w:rsidR="005266F6" w:rsidRDefault="00000000">
            <w:pPr>
              <w:spacing w:after="0" w:line="259" w:lineRule="auto"/>
            </w:pPr>
            <w:r>
              <w:rPr>
                <w:b/>
                <w:color w:val="1D4289"/>
                <w:sz w:val="17"/>
              </w:rPr>
              <w:t>WHAT CHANGES</w:t>
            </w:r>
          </w:p>
        </w:tc>
        <w:tc>
          <w:tcPr>
            <w:tcW w:w="3456" w:type="dxa"/>
            <w:shd w:val="clear" w:color="auto" w:fill="F3F7FA"/>
            <w:tcMar>
              <w:top w:w="80" w:type="dxa"/>
              <w:left w:w="100" w:type="dxa"/>
              <w:bottom w:w="80" w:type="dxa"/>
              <w:right w:w="100" w:type="dxa"/>
            </w:tcMar>
            <w:vAlign w:val="center"/>
          </w:tcPr>
          <w:p w14:paraId="4C47313E" w14:textId="77777777" w:rsidR="005266F6" w:rsidRDefault="00000000">
            <w:pPr>
              <w:spacing w:after="0" w:line="259" w:lineRule="auto"/>
            </w:pPr>
            <w:r>
              <w:rPr>
                <w:color w:val="24364B"/>
                <w:sz w:val="17"/>
              </w:rPr>
              <w:t>Simple two-column graphic: HIGH SCHOOL — school has active support role | COLLEGE — student initiates request. Optional authentic college accessibility-office interaction.</w:t>
            </w:r>
          </w:p>
        </w:tc>
      </w:tr>
      <w:tr w:rsidR="005266F6" w14:paraId="238B18B4" w14:textId="77777777">
        <w:trPr>
          <w:jc w:val="center"/>
        </w:trPr>
        <w:tc>
          <w:tcPr>
            <w:tcW w:w="3456" w:type="dxa"/>
            <w:tcMar>
              <w:top w:w="80" w:type="dxa"/>
              <w:left w:w="100" w:type="dxa"/>
              <w:bottom w:w="80" w:type="dxa"/>
              <w:right w:w="100" w:type="dxa"/>
            </w:tcMar>
            <w:vAlign w:val="center"/>
          </w:tcPr>
          <w:p w14:paraId="3FA9D646" w14:textId="77777777" w:rsidR="005266F6" w:rsidRDefault="00000000">
            <w:pPr>
              <w:spacing w:after="0" w:line="259" w:lineRule="auto"/>
            </w:pPr>
            <w:r>
              <w:rPr>
                <w:color w:val="24364B"/>
                <w:sz w:val="17"/>
              </w:rPr>
              <w:t>0:52–1:12</w:t>
            </w:r>
          </w:p>
        </w:tc>
        <w:tc>
          <w:tcPr>
            <w:tcW w:w="3456" w:type="dxa"/>
            <w:tcMar>
              <w:top w:w="80" w:type="dxa"/>
              <w:left w:w="100" w:type="dxa"/>
              <w:bottom w:w="80" w:type="dxa"/>
              <w:right w:w="100" w:type="dxa"/>
            </w:tcMar>
            <w:vAlign w:val="center"/>
          </w:tcPr>
          <w:p w14:paraId="718E1172" w14:textId="77777777" w:rsidR="005266F6" w:rsidRDefault="00000000">
            <w:pPr>
              <w:spacing w:after="0" w:line="259" w:lineRule="auto"/>
            </w:pPr>
            <w:r>
              <w:rPr>
                <w:b/>
                <w:color w:val="1D4289"/>
                <w:sz w:val="17"/>
              </w:rPr>
              <w:t>IEP / 504</w:t>
            </w:r>
          </w:p>
        </w:tc>
        <w:tc>
          <w:tcPr>
            <w:tcW w:w="3456" w:type="dxa"/>
            <w:tcMar>
              <w:top w:w="80" w:type="dxa"/>
              <w:left w:w="100" w:type="dxa"/>
              <w:bottom w:w="80" w:type="dxa"/>
              <w:right w:w="100" w:type="dxa"/>
            </w:tcMar>
            <w:vAlign w:val="center"/>
          </w:tcPr>
          <w:p w14:paraId="72403055" w14:textId="77777777" w:rsidR="005266F6" w:rsidRDefault="00000000">
            <w:pPr>
              <w:spacing w:after="0" w:line="259" w:lineRule="auto"/>
            </w:pPr>
            <w:r>
              <w:rPr>
                <w:color w:val="24364B"/>
                <w:sz w:val="17"/>
              </w:rPr>
              <w:t>Literal document-to-process graphic: IEP / 504 = USEFUL HISTORY → COLLEGE PROCESS → INDIVIDUAL REVIEW. Do not show a red X over IEP/504 or imply records are useless.</w:t>
            </w:r>
          </w:p>
        </w:tc>
      </w:tr>
      <w:tr w:rsidR="005266F6" w14:paraId="419F0BAE" w14:textId="77777777">
        <w:trPr>
          <w:jc w:val="center"/>
        </w:trPr>
        <w:tc>
          <w:tcPr>
            <w:tcW w:w="3456" w:type="dxa"/>
            <w:shd w:val="clear" w:color="auto" w:fill="F3F7FA"/>
            <w:tcMar>
              <w:top w:w="80" w:type="dxa"/>
              <w:left w:w="100" w:type="dxa"/>
              <w:bottom w:w="80" w:type="dxa"/>
              <w:right w:w="100" w:type="dxa"/>
            </w:tcMar>
            <w:vAlign w:val="center"/>
          </w:tcPr>
          <w:p w14:paraId="2A3F738E" w14:textId="77777777" w:rsidR="005266F6" w:rsidRDefault="00000000">
            <w:pPr>
              <w:spacing w:after="0" w:line="259" w:lineRule="auto"/>
            </w:pPr>
            <w:r>
              <w:rPr>
                <w:color w:val="24364B"/>
                <w:sz w:val="17"/>
              </w:rPr>
              <w:t>1:12–1:38</w:t>
            </w:r>
          </w:p>
        </w:tc>
        <w:tc>
          <w:tcPr>
            <w:tcW w:w="3456" w:type="dxa"/>
            <w:shd w:val="clear" w:color="auto" w:fill="F3F7FA"/>
            <w:tcMar>
              <w:top w:w="80" w:type="dxa"/>
              <w:left w:w="100" w:type="dxa"/>
              <w:bottom w:w="80" w:type="dxa"/>
              <w:right w:w="100" w:type="dxa"/>
            </w:tcMar>
            <w:vAlign w:val="center"/>
          </w:tcPr>
          <w:p w14:paraId="5F40D0F9" w14:textId="77777777" w:rsidR="005266F6" w:rsidRDefault="00000000">
            <w:pPr>
              <w:spacing w:after="0" w:line="259" w:lineRule="auto"/>
            </w:pPr>
            <w:r>
              <w:rPr>
                <w:b/>
                <w:color w:val="1D4289"/>
                <w:sz w:val="17"/>
              </w:rPr>
              <w:t>START EARLY</w:t>
            </w:r>
          </w:p>
        </w:tc>
        <w:tc>
          <w:tcPr>
            <w:tcW w:w="3456" w:type="dxa"/>
            <w:shd w:val="clear" w:color="auto" w:fill="F3F7FA"/>
            <w:tcMar>
              <w:top w:w="80" w:type="dxa"/>
              <w:left w:w="100" w:type="dxa"/>
              <w:bottom w:w="80" w:type="dxa"/>
              <w:right w:w="100" w:type="dxa"/>
            </w:tcMar>
            <w:vAlign w:val="center"/>
          </w:tcPr>
          <w:p w14:paraId="549DB7BF" w14:textId="77777777" w:rsidR="005266F6" w:rsidRDefault="00000000">
            <w:pPr>
              <w:spacing w:after="0" w:line="259" w:lineRule="auto"/>
            </w:pPr>
            <w:r>
              <w:rPr>
                <w:color w:val="24364B"/>
                <w:sz w:val="17"/>
              </w:rPr>
              <w:t>Graphic: FIND THE OFFICE → ASK WHAT THEY NEED → SUBMIT / ACTIVATE. Optional student comparing college support pages; no fake website interface.</w:t>
            </w:r>
          </w:p>
        </w:tc>
      </w:tr>
      <w:tr w:rsidR="005266F6" w14:paraId="56445A8B" w14:textId="77777777">
        <w:trPr>
          <w:jc w:val="center"/>
        </w:trPr>
        <w:tc>
          <w:tcPr>
            <w:tcW w:w="3456" w:type="dxa"/>
            <w:tcMar>
              <w:top w:w="80" w:type="dxa"/>
              <w:left w:w="100" w:type="dxa"/>
              <w:bottom w:w="80" w:type="dxa"/>
              <w:right w:w="100" w:type="dxa"/>
            </w:tcMar>
            <w:vAlign w:val="center"/>
          </w:tcPr>
          <w:p w14:paraId="0D8FDE44" w14:textId="77777777" w:rsidR="005266F6" w:rsidRDefault="00000000">
            <w:pPr>
              <w:spacing w:after="0" w:line="259" w:lineRule="auto"/>
            </w:pPr>
            <w:r>
              <w:rPr>
                <w:color w:val="24364B"/>
                <w:sz w:val="17"/>
              </w:rPr>
              <w:t>1:38–1:58</w:t>
            </w:r>
          </w:p>
        </w:tc>
        <w:tc>
          <w:tcPr>
            <w:tcW w:w="3456" w:type="dxa"/>
            <w:tcMar>
              <w:top w:w="80" w:type="dxa"/>
              <w:left w:w="100" w:type="dxa"/>
              <w:bottom w:w="80" w:type="dxa"/>
              <w:right w:w="100" w:type="dxa"/>
            </w:tcMar>
            <w:vAlign w:val="center"/>
          </w:tcPr>
          <w:p w14:paraId="634E9830" w14:textId="77777777" w:rsidR="005266F6" w:rsidRDefault="00000000">
            <w:pPr>
              <w:spacing w:after="0" w:line="259" w:lineRule="auto"/>
            </w:pPr>
            <w:r>
              <w:rPr>
                <w:b/>
                <w:color w:val="1D4289"/>
                <w:sz w:val="17"/>
              </w:rPr>
              <w:t>SELF-ADVOCACY</w:t>
            </w:r>
          </w:p>
        </w:tc>
        <w:tc>
          <w:tcPr>
            <w:tcW w:w="3456" w:type="dxa"/>
            <w:tcMar>
              <w:top w:w="80" w:type="dxa"/>
              <w:left w:w="100" w:type="dxa"/>
              <w:bottom w:w="80" w:type="dxa"/>
              <w:right w:w="100" w:type="dxa"/>
            </w:tcMar>
            <w:vAlign w:val="center"/>
          </w:tcPr>
          <w:p w14:paraId="59316033" w14:textId="77777777" w:rsidR="005266F6" w:rsidRDefault="00000000">
            <w:pPr>
              <w:spacing w:after="0" w:line="259" w:lineRule="auto"/>
            </w:pPr>
            <w:r>
              <w:rPr>
                <w:color w:val="24364B"/>
                <w:sz w:val="17"/>
              </w:rPr>
              <w:t>Authentic student leading a conversation with an accessibility professional. Student is active decision-maker; no pity/caregiver framing.</w:t>
            </w:r>
          </w:p>
        </w:tc>
      </w:tr>
      <w:tr w:rsidR="005266F6" w14:paraId="08D243A0" w14:textId="77777777">
        <w:trPr>
          <w:jc w:val="center"/>
        </w:trPr>
        <w:tc>
          <w:tcPr>
            <w:tcW w:w="3456" w:type="dxa"/>
            <w:shd w:val="clear" w:color="auto" w:fill="F3F7FA"/>
            <w:tcMar>
              <w:top w:w="80" w:type="dxa"/>
              <w:left w:w="100" w:type="dxa"/>
              <w:bottom w:w="80" w:type="dxa"/>
              <w:right w:w="100" w:type="dxa"/>
            </w:tcMar>
            <w:vAlign w:val="center"/>
          </w:tcPr>
          <w:p w14:paraId="1752746B" w14:textId="77777777" w:rsidR="005266F6" w:rsidRDefault="00000000">
            <w:pPr>
              <w:spacing w:after="0" w:line="259" w:lineRule="auto"/>
            </w:pPr>
            <w:r>
              <w:rPr>
                <w:color w:val="24364B"/>
                <w:sz w:val="17"/>
              </w:rPr>
              <w:t>1:58–2:18</w:t>
            </w:r>
          </w:p>
        </w:tc>
        <w:tc>
          <w:tcPr>
            <w:tcW w:w="3456" w:type="dxa"/>
            <w:shd w:val="clear" w:color="auto" w:fill="F3F7FA"/>
            <w:tcMar>
              <w:top w:w="80" w:type="dxa"/>
              <w:left w:w="100" w:type="dxa"/>
              <w:bottom w:w="80" w:type="dxa"/>
              <w:right w:w="100" w:type="dxa"/>
            </w:tcMar>
            <w:vAlign w:val="center"/>
          </w:tcPr>
          <w:p w14:paraId="5148F241" w14:textId="77777777" w:rsidR="005266F6" w:rsidRDefault="00000000">
            <w:pPr>
              <w:spacing w:after="0" w:line="259" w:lineRule="auto"/>
            </w:pPr>
            <w:r>
              <w:rPr>
                <w:b/>
                <w:color w:val="1D4289"/>
                <w:sz w:val="17"/>
              </w:rPr>
              <w:t>COUNSELOR ROLE</w:t>
            </w:r>
          </w:p>
        </w:tc>
        <w:tc>
          <w:tcPr>
            <w:tcW w:w="3456" w:type="dxa"/>
            <w:shd w:val="clear" w:color="auto" w:fill="F3F7FA"/>
            <w:tcMar>
              <w:top w:w="80" w:type="dxa"/>
              <w:left w:w="100" w:type="dxa"/>
              <w:bottom w:w="80" w:type="dxa"/>
              <w:right w:w="100" w:type="dxa"/>
            </w:tcMar>
            <w:vAlign w:val="center"/>
          </w:tcPr>
          <w:p w14:paraId="76828918" w14:textId="77777777" w:rsidR="005266F6" w:rsidRDefault="00000000">
            <w:pPr>
              <w:spacing w:after="0" w:line="259" w:lineRule="auto"/>
            </w:pPr>
            <w:r>
              <w:rPr>
                <w:color w:val="24364B"/>
                <w:sz w:val="17"/>
              </w:rPr>
              <w:t>Graphic: PREPARE → FIND → COMPARE → FOLLOW UP. Optional counselor/student planning footage.</w:t>
            </w:r>
          </w:p>
        </w:tc>
      </w:tr>
      <w:tr w:rsidR="005266F6" w14:paraId="34D5A5DA" w14:textId="77777777">
        <w:trPr>
          <w:jc w:val="center"/>
        </w:trPr>
        <w:tc>
          <w:tcPr>
            <w:tcW w:w="3456" w:type="dxa"/>
            <w:tcMar>
              <w:top w:w="80" w:type="dxa"/>
              <w:left w:w="100" w:type="dxa"/>
              <w:bottom w:w="80" w:type="dxa"/>
              <w:right w:w="100" w:type="dxa"/>
            </w:tcMar>
            <w:vAlign w:val="center"/>
          </w:tcPr>
          <w:p w14:paraId="057905CE" w14:textId="77777777" w:rsidR="005266F6" w:rsidRDefault="00000000">
            <w:pPr>
              <w:spacing w:after="0" w:line="259" w:lineRule="auto"/>
            </w:pPr>
            <w:r>
              <w:rPr>
                <w:color w:val="24364B"/>
                <w:sz w:val="17"/>
              </w:rPr>
              <w:t>2:18–2:32</w:t>
            </w:r>
          </w:p>
        </w:tc>
        <w:tc>
          <w:tcPr>
            <w:tcW w:w="3456" w:type="dxa"/>
            <w:tcMar>
              <w:top w:w="80" w:type="dxa"/>
              <w:left w:w="100" w:type="dxa"/>
              <w:bottom w:w="80" w:type="dxa"/>
              <w:right w:w="100" w:type="dxa"/>
            </w:tcMar>
            <w:vAlign w:val="center"/>
          </w:tcPr>
          <w:p w14:paraId="0EE0578D" w14:textId="77777777" w:rsidR="005266F6" w:rsidRDefault="00000000">
            <w:pPr>
              <w:spacing w:after="0" w:line="259" w:lineRule="auto"/>
            </w:pPr>
            <w:r>
              <w:rPr>
                <w:b/>
                <w:color w:val="1D4289"/>
                <w:sz w:val="17"/>
              </w:rPr>
              <w:t>YOUR NEXT MOVE</w:t>
            </w:r>
          </w:p>
        </w:tc>
        <w:tc>
          <w:tcPr>
            <w:tcW w:w="3456" w:type="dxa"/>
            <w:tcMar>
              <w:top w:w="80" w:type="dxa"/>
              <w:left w:w="100" w:type="dxa"/>
              <w:bottom w:w="80" w:type="dxa"/>
              <w:right w:w="100" w:type="dxa"/>
            </w:tcMar>
            <w:vAlign w:val="center"/>
          </w:tcPr>
          <w:p w14:paraId="4F8B7A0A" w14:textId="77777777" w:rsidR="005266F6" w:rsidRDefault="00000000">
            <w:pPr>
              <w:spacing w:after="0" w:line="259" w:lineRule="auto"/>
            </w:pPr>
            <w:r>
              <w:rPr>
                <w:color w:val="24364B"/>
                <w:sz w:val="17"/>
              </w:rPr>
              <w:t>Graphic only: PICK ONE LIKELY COLLEGE → FIND ACCESSIBILITY OFFICE → ASK WHAT TO GATHER + WHEN TO START.</w:t>
            </w:r>
          </w:p>
        </w:tc>
      </w:tr>
      <w:tr w:rsidR="005266F6" w14:paraId="4D43F9D0" w14:textId="77777777">
        <w:trPr>
          <w:jc w:val="center"/>
        </w:trPr>
        <w:tc>
          <w:tcPr>
            <w:tcW w:w="3456" w:type="dxa"/>
            <w:shd w:val="clear" w:color="auto" w:fill="F3F7FA"/>
            <w:tcMar>
              <w:top w:w="80" w:type="dxa"/>
              <w:left w:w="100" w:type="dxa"/>
              <w:bottom w:w="80" w:type="dxa"/>
              <w:right w:w="100" w:type="dxa"/>
            </w:tcMar>
            <w:vAlign w:val="center"/>
          </w:tcPr>
          <w:p w14:paraId="03487C55" w14:textId="77777777" w:rsidR="005266F6" w:rsidRDefault="00000000">
            <w:pPr>
              <w:spacing w:after="0" w:line="259" w:lineRule="auto"/>
            </w:pPr>
            <w:r>
              <w:rPr>
                <w:color w:val="24364B"/>
                <w:sz w:val="17"/>
              </w:rPr>
              <w:t>2:32–2:40</w:t>
            </w:r>
          </w:p>
        </w:tc>
        <w:tc>
          <w:tcPr>
            <w:tcW w:w="3456" w:type="dxa"/>
            <w:shd w:val="clear" w:color="auto" w:fill="F3F7FA"/>
            <w:tcMar>
              <w:top w:w="80" w:type="dxa"/>
              <w:left w:w="100" w:type="dxa"/>
              <w:bottom w:w="80" w:type="dxa"/>
              <w:right w:w="100" w:type="dxa"/>
            </w:tcMar>
            <w:vAlign w:val="center"/>
          </w:tcPr>
          <w:p w14:paraId="0ED67E15" w14:textId="77777777" w:rsidR="005266F6" w:rsidRDefault="00000000">
            <w:pPr>
              <w:spacing w:after="0" w:line="259" w:lineRule="auto"/>
            </w:pPr>
            <w:r>
              <w:rPr>
                <w:b/>
                <w:color w:val="1D4289"/>
                <w:sz w:val="17"/>
              </w:rPr>
              <w:t>KEEP EXPLORING</w:t>
            </w:r>
          </w:p>
        </w:tc>
        <w:tc>
          <w:tcPr>
            <w:tcW w:w="3456" w:type="dxa"/>
            <w:shd w:val="clear" w:color="auto" w:fill="F3F7FA"/>
            <w:tcMar>
              <w:top w:w="80" w:type="dxa"/>
              <w:left w:w="100" w:type="dxa"/>
              <w:bottom w:w="80" w:type="dxa"/>
              <w:right w:w="100" w:type="dxa"/>
            </w:tcMar>
            <w:vAlign w:val="center"/>
          </w:tcPr>
          <w:p w14:paraId="55AF9DC2" w14:textId="77777777" w:rsidR="005266F6" w:rsidRDefault="00000000">
            <w:pPr>
              <w:spacing w:after="0" w:line="259" w:lineRule="auto"/>
            </w:pPr>
            <w:r>
              <w:rPr>
                <w:color w:val="24364B"/>
                <w:sz w:val="17"/>
              </w:rPr>
              <w:t>Graphic only: Delaware Student Success | College Accessibility Office | U.S. Department of Education.</w:t>
            </w:r>
          </w:p>
        </w:tc>
      </w:tr>
      <w:tr w:rsidR="005266F6" w14:paraId="04D5A6F8" w14:textId="77777777">
        <w:trPr>
          <w:jc w:val="center"/>
        </w:trPr>
        <w:tc>
          <w:tcPr>
            <w:tcW w:w="3456" w:type="dxa"/>
            <w:tcMar>
              <w:top w:w="80" w:type="dxa"/>
              <w:left w:w="100" w:type="dxa"/>
              <w:bottom w:w="80" w:type="dxa"/>
              <w:right w:w="100" w:type="dxa"/>
            </w:tcMar>
            <w:vAlign w:val="center"/>
          </w:tcPr>
          <w:p w14:paraId="43D36E57" w14:textId="77777777" w:rsidR="005266F6" w:rsidRDefault="00000000">
            <w:pPr>
              <w:spacing w:after="0" w:line="259" w:lineRule="auto"/>
            </w:pPr>
            <w:r>
              <w:rPr>
                <w:color w:val="24364B"/>
                <w:sz w:val="17"/>
              </w:rPr>
              <w:t>2:40–2:45</w:t>
            </w:r>
          </w:p>
        </w:tc>
        <w:tc>
          <w:tcPr>
            <w:tcW w:w="3456" w:type="dxa"/>
            <w:tcMar>
              <w:top w:w="80" w:type="dxa"/>
              <w:left w:w="100" w:type="dxa"/>
              <w:bottom w:w="80" w:type="dxa"/>
              <w:right w:w="100" w:type="dxa"/>
            </w:tcMar>
            <w:vAlign w:val="center"/>
          </w:tcPr>
          <w:p w14:paraId="213CC7EA" w14:textId="77777777" w:rsidR="005266F6" w:rsidRDefault="00000000">
            <w:pPr>
              <w:spacing w:after="0" w:line="259" w:lineRule="auto"/>
            </w:pPr>
            <w:r>
              <w:rPr>
                <w:b/>
                <w:color w:val="1D4289"/>
                <w:sz w:val="17"/>
              </w:rPr>
              <w:t>SIGN-OFF</w:t>
            </w:r>
          </w:p>
        </w:tc>
        <w:tc>
          <w:tcPr>
            <w:tcW w:w="3456" w:type="dxa"/>
            <w:tcMar>
              <w:top w:w="80" w:type="dxa"/>
              <w:left w:w="100" w:type="dxa"/>
              <w:bottom w:w="80" w:type="dxa"/>
              <w:right w:w="100" w:type="dxa"/>
            </w:tcMar>
            <w:vAlign w:val="center"/>
          </w:tcPr>
          <w:p w14:paraId="33CE1A59" w14:textId="77777777" w:rsidR="005266F6" w:rsidRDefault="00000000">
            <w:pPr>
              <w:spacing w:after="0" w:line="259" w:lineRule="auto"/>
            </w:pPr>
            <w:r>
              <w:rPr>
                <w:color w:val="24364B"/>
                <w:sz w:val="17"/>
              </w:rPr>
              <w:t>Launch logo + EVERY STUDENT. A NEXT STEP. A WAY FORWARD. Nothing after this.</w:t>
            </w:r>
          </w:p>
        </w:tc>
      </w:tr>
    </w:tbl>
    <w:p w14:paraId="13733B62" w14:textId="77777777" w:rsidR="005266F6" w:rsidRDefault="00000000">
      <w:pPr>
        <w:spacing w:before="180" w:after="0" w:line="259" w:lineRule="auto"/>
      </w:pPr>
      <w:r>
        <w:rPr>
          <w:b/>
          <w:color w:val="00B0B9"/>
          <w:sz w:val="26"/>
        </w:rPr>
        <w:lastRenderedPageBreak/>
        <w:t>Visual rules that matter most</w:t>
      </w:r>
    </w:p>
    <w:p w14:paraId="46B9D66C" w14:textId="77777777" w:rsidR="005266F6" w:rsidRDefault="00000000">
      <w:pPr>
        <w:pStyle w:val="ListBullet"/>
        <w:spacing w:after="40" w:line="259" w:lineRule="auto"/>
      </w:pPr>
      <w:r>
        <w:rPr>
          <w:color w:val="24364B"/>
        </w:rPr>
        <w:t>Priority: relevant real footage → simple literal information graphic → clean text card. Never invent a metaphor just to fill a scene.</w:t>
      </w:r>
    </w:p>
    <w:p w14:paraId="6263D36F" w14:textId="77777777" w:rsidR="005266F6" w:rsidRDefault="00000000">
      <w:pPr>
        <w:pStyle w:val="ListBullet"/>
        <w:spacing w:after="40" w:line="259" w:lineRule="auto"/>
      </w:pPr>
      <w:r>
        <w:rPr>
          <w:color w:val="24364B"/>
        </w:rPr>
        <w:t>Every visual must match the exact sentence being narrated. Avoid random medical imagery, hospital beds, wheelchairs used as a universal disability symbol, sad/isolated students, inspirational-overcoming tropes, legal/court imagery, or unrelated documents.</w:t>
      </w:r>
    </w:p>
    <w:p w14:paraId="2AB3403D" w14:textId="77777777" w:rsidR="005266F6" w:rsidRDefault="00000000">
      <w:pPr>
        <w:pStyle w:val="ListBullet"/>
        <w:spacing w:after="40" w:line="259" w:lineRule="auto"/>
      </w:pPr>
      <w:r>
        <w:rPr>
          <w:color w:val="24364B"/>
        </w:rPr>
        <w:t>Represent disability inclusively and naturally. If showing a visibly disabled student, portray the student as capable and leading the interaction. Do not imply all disabilities are visible.</w:t>
      </w:r>
    </w:p>
    <w:p w14:paraId="39B421C0" w14:textId="77777777" w:rsidR="005266F6" w:rsidRDefault="00000000">
      <w:pPr>
        <w:pStyle w:val="ListBullet"/>
        <w:spacing w:after="40" w:line="259" w:lineRule="auto"/>
      </w:pPr>
      <w:r>
        <w:rPr>
          <w:color w:val="24364B"/>
        </w:rPr>
        <w:t>No visual asset more than once. Graphics should use text, simple icons, lines, arrows, and Launch colors—not decorative AI illustration.</w:t>
      </w:r>
    </w:p>
    <w:p w14:paraId="4E7FA86D" w14:textId="77777777" w:rsidR="005266F6" w:rsidRDefault="00000000">
      <w:pPr>
        <w:pStyle w:val="ListBullet"/>
        <w:spacing w:after="40" w:line="259" w:lineRule="auto"/>
      </w:pPr>
      <w:r>
        <w:rPr>
          <w:color w:val="24364B"/>
        </w:rPr>
        <w:t>For people: native horizontal 16:9, preferably medium or medium-wide; entire head visible with natural headroom; no cropping through face, chin, hands, elbows, knees, mobility devices, communication devices, or important action. Replace unsuitable footage rather than zooming.</w:t>
      </w:r>
    </w:p>
    <w:p w14:paraId="126D4A19" w14:textId="77777777" w:rsidR="005266F6" w:rsidRDefault="00000000">
      <w:pPr>
        <w:pStyle w:val="ListBullet"/>
        <w:spacing w:after="40" w:line="259" w:lineRule="auto"/>
      </w:pPr>
      <w:r>
        <w:rPr>
          <w:color w:val="24364B"/>
        </w:rPr>
        <w:t>Keep text off faces. If a mobility device is relevant to the shot, frame the person and device naturally rather than cutting either off.</w:t>
      </w:r>
    </w:p>
    <w:p w14:paraId="05C05529" w14:textId="77777777" w:rsidR="005266F6" w:rsidRDefault="00000000">
      <w:pPr>
        <w:pStyle w:val="ListBullet"/>
        <w:spacing w:after="40" w:line="259" w:lineRule="auto"/>
      </w:pPr>
      <w:r>
        <w:rPr>
          <w:color w:val="24364B"/>
        </w:rPr>
        <w:t>Copilot first cut should remain easy to repair in Clipchamp: prioritize clean narration, relevant footage, and simple graphics over complex generated animation.</w:t>
      </w:r>
    </w:p>
    <w:p w14:paraId="3E8FC296" w14:textId="77777777" w:rsidR="005266F6" w:rsidRDefault="00000000">
      <w:r>
        <w:br w:type="page"/>
      </w:r>
    </w:p>
    <w:p w14:paraId="2C28D347" w14:textId="77777777" w:rsidR="005266F6" w:rsidRDefault="00000000">
      <w:pPr>
        <w:spacing w:before="180" w:after="0" w:line="259" w:lineRule="auto"/>
      </w:pPr>
      <w:r>
        <w:rPr>
          <w:b/>
          <w:color w:val="1D4289"/>
          <w:sz w:val="36"/>
        </w:rPr>
        <w:lastRenderedPageBreak/>
        <w:t>Copilot release check</w:t>
      </w:r>
    </w:p>
    <w:p w14:paraId="353E1C04" w14:textId="77777777" w:rsidR="005266F6" w:rsidRDefault="00000000">
      <w:pPr>
        <w:spacing w:after="60" w:line="259" w:lineRule="auto"/>
      </w:pPr>
      <w:r>
        <w:rPr>
          <w:color w:val="24364B"/>
        </w:rPr>
        <w:t>1. Opening identifies series/topic within 7 seconds.</w:t>
      </w:r>
    </w:p>
    <w:p w14:paraId="2AC59B66" w14:textId="77777777" w:rsidR="005266F6" w:rsidRDefault="00000000">
      <w:pPr>
        <w:spacing w:after="60" w:line="259" w:lineRule="auto"/>
      </w:pPr>
      <w:r>
        <w:rPr>
          <w:color w:val="24364B"/>
        </w:rPr>
        <w:t>2. Runtime stays near 2:25–2:45.</w:t>
      </w:r>
    </w:p>
    <w:p w14:paraId="79E758A4" w14:textId="77777777" w:rsidR="005266F6" w:rsidRDefault="00000000">
      <w:pPr>
        <w:spacing w:after="60" w:line="259" w:lineRule="auto"/>
      </w:pPr>
      <w:r>
        <w:rPr>
          <w:b/>
          <w:color w:val="24364B"/>
        </w:rPr>
        <w:t>3. No cut-off heads, mobility devices, hands, or important action.</w:t>
      </w:r>
    </w:p>
    <w:p w14:paraId="3B407B72" w14:textId="77777777" w:rsidR="005266F6" w:rsidRDefault="00000000">
      <w:pPr>
        <w:spacing w:after="60" w:line="259" w:lineRule="auto"/>
      </w:pPr>
      <w:r>
        <w:rPr>
          <w:b/>
          <w:color w:val="24364B"/>
        </w:rPr>
        <w:t>4. No irrelevant symbolic animation, pity imagery, or disability stereotype.</w:t>
      </w:r>
    </w:p>
    <w:p w14:paraId="33CCA599" w14:textId="77777777" w:rsidR="005266F6" w:rsidRDefault="00000000">
      <w:pPr>
        <w:spacing w:after="60" w:line="259" w:lineRule="auto"/>
      </w:pPr>
      <w:r>
        <w:rPr>
          <w:b/>
          <w:color w:val="24364B"/>
        </w:rPr>
        <w:t>5. High-school and college processes are clearly distinguished.</w:t>
      </w:r>
    </w:p>
    <w:p w14:paraId="4CF9A89C" w14:textId="77777777" w:rsidR="005266F6" w:rsidRDefault="00000000">
      <w:pPr>
        <w:spacing w:after="60" w:line="259" w:lineRule="auto"/>
      </w:pPr>
      <w:r>
        <w:rPr>
          <w:color w:val="24364B"/>
        </w:rPr>
        <w:t>6. IEP/504 is described as useful history, not an automatic college accommodation plan.</w:t>
      </w:r>
    </w:p>
    <w:p w14:paraId="20C65432" w14:textId="77777777" w:rsidR="005266F6" w:rsidRDefault="00000000">
      <w:pPr>
        <w:spacing w:after="60" w:line="259" w:lineRule="auto"/>
      </w:pPr>
      <w:r>
        <w:rPr>
          <w:color w:val="24364B"/>
        </w:rPr>
        <w:t>7. Student is shown as the person who initiates the college request; counselor prepares and supports.</w:t>
      </w:r>
    </w:p>
    <w:p w14:paraId="7398CEBD" w14:textId="77777777" w:rsidR="005266F6" w:rsidRDefault="00000000">
      <w:pPr>
        <w:spacing w:after="60" w:line="259" w:lineRule="auto"/>
      </w:pPr>
      <w:r>
        <w:rPr>
          <w:color w:val="24364B"/>
        </w:rPr>
        <w:t>8. No promised accommodation, invented documentation requirement, or universal deadline.</w:t>
      </w:r>
    </w:p>
    <w:p w14:paraId="48401AED" w14:textId="77777777" w:rsidR="005266F6" w:rsidRDefault="00000000">
      <w:pPr>
        <w:spacing w:after="60" w:line="259" w:lineRule="auto"/>
      </w:pPr>
      <w:r>
        <w:rPr>
          <w:color w:val="24364B"/>
        </w:rPr>
        <w:t>9. Resources are accurate and common Launch sign-off is last.</w:t>
      </w:r>
    </w:p>
    <w:p w14:paraId="5E55D016" w14:textId="77777777" w:rsidR="005266F6" w:rsidRDefault="00000000">
      <w:pPr>
        <w:spacing w:after="60" w:line="259" w:lineRule="auto"/>
      </w:pPr>
      <w:r>
        <w:rPr>
          <w:color w:val="24364B"/>
        </w:rPr>
        <w:t>10. Captions and on-screen text are proofread and readable.</w:t>
      </w:r>
    </w:p>
    <w:p w14:paraId="1D1CBB9A" w14:textId="77777777" w:rsidR="005266F6" w:rsidRDefault="00000000">
      <w:pPr>
        <w:spacing w:before="180" w:after="0" w:line="259" w:lineRule="auto"/>
      </w:pPr>
      <w:r>
        <w:rPr>
          <w:b/>
          <w:color w:val="FF6720"/>
          <w:sz w:val="26"/>
        </w:rPr>
        <w:t>Approved resource anchors</w:t>
      </w:r>
    </w:p>
    <w:p w14:paraId="7255D417" w14:textId="77777777" w:rsidR="005266F6" w:rsidRDefault="00000000">
      <w:pPr>
        <w:pStyle w:val="ListBullet"/>
        <w:spacing w:after="40" w:line="259" w:lineRule="auto"/>
      </w:pPr>
      <w:r>
        <w:rPr>
          <w:color w:val="24364B"/>
        </w:rPr>
        <w:t>Delaware Student Success — Success for Students with Disabilities</w:t>
      </w:r>
    </w:p>
    <w:p w14:paraId="61B66BB1" w14:textId="77777777" w:rsidR="005266F6" w:rsidRDefault="00000000">
      <w:pPr>
        <w:pStyle w:val="ListBullet"/>
        <w:spacing w:after="40" w:line="259" w:lineRule="auto"/>
      </w:pPr>
      <w:r>
        <w:rPr>
          <w:color w:val="24364B"/>
        </w:rPr>
        <w:t>Student’s college accessibility/disability-services office — institution-specific process and decisions</w:t>
      </w:r>
    </w:p>
    <w:p w14:paraId="2E4E5060" w14:textId="77777777" w:rsidR="005266F6" w:rsidRDefault="00000000">
      <w:pPr>
        <w:pStyle w:val="ListBullet"/>
        <w:spacing w:after="40" w:line="259" w:lineRule="auto"/>
      </w:pPr>
      <w:r>
        <w:rPr>
          <w:color w:val="24364B"/>
        </w:rPr>
        <w:t>U.S. Department of Education — Students with Disabilities Preparing for Postsecondary Education</w:t>
      </w:r>
    </w:p>
    <w:p w14:paraId="0D6E3C02" w14:textId="77777777" w:rsidR="005266F6" w:rsidRDefault="00000000">
      <w:pPr>
        <w:pStyle w:val="ListBullet"/>
        <w:spacing w:after="40" w:line="259" w:lineRule="auto"/>
      </w:pPr>
      <w:r>
        <w:rPr>
          <w:color w:val="24364B"/>
        </w:rPr>
        <w:t>Delaware Division of Vocational Rehabilitation / Pre-Employment Transition Services — transition and employment supports when appropriate; do not conflate with college accessibility services</w:t>
      </w:r>
    </w:p>
    <w:p w14:paraId="5900D6FE" w14:textId="77777777" w:rsidR="005266F6" w:rsidRDefault="00000000">
      <w:pPr>
        <w:spacing w:after="0" w:line="259" w:lineRule="auto"/>
        <w:jc w:val="center"/>
      </w:pPr>
      <w:r>
        <w:rPr>
          <w:b/>
          <w:color w:val="1D4289"/>
          <w:sz w:val="28"/>
        </w:rPr>
        <w:t>LAUNCH INTO YOUR FUTURE</w:t>
      </w:r>
      <w:r>
        <w:rPr>
          <w:b/>
          <w:color w:val="00B0B9"/>
          <w:sz w:val="22"/>
        </w:rPr>
        <w:t>Every student. A next step. A way forward.</w:t>
      </w:r>
    </w:p>
    <w:sectPr w:rsidR="005266F6" w:rsidSect="00034616">
      <w:head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D174AB" w14:textId="77777777" w:rsidR="0092486D" w:rsidRDefault="0092486D">
      <w:pPr>
        <w:spacing w:after="0" w:line="240" w:lineRule="auto"/>
      </w:pPr>
      <w:r>
        <w:separator/>
      </w:r>
    </w:p>
  </w:endnote>
  <w:endnote w:type="continuationSeparator" w:id="0">
    <w:p w14:paraId="0DB8E064" w14:textId="77777777" w:rsidR="0092486D" w:rsidRDefault="00924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1F69D4" w14:textId="77777777" w:rsidR="0092486D" w:rsidRDefault="0092486D">
      <w:pPr>
        <w:spacing w:after="0" w:line="240" w:lineRule="auto"/>
      </w:pPr>
      <w:r>
        <w:separator/>
      </w:r>
    </w:p>
  </w:footnote>
  <w:footnote w:type="continuationSeparator" w:id="0">
    <w:p w14:paraId="69C8F16F" w14:textId="77777777" w:rsidR="0092486D" w:rsidRDefault="00924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700058" w14:textId="7CC600F5" w:rsidR="005266F6" w:rsidRDefault="00000000">
    <w:pPr>
      <w:pStyle w:val="Header"/>
      <w:spacing w:line="259" w:lineRule="auto"/>
      <w:jc w:val="right"/>
    </w:pPr>
    <w:r>
      <w:rPr>
        <w:b/>
        <w:color w:val="1D4289"/>
        <w:sz w:val="16"/>
      </w:rPr>
      <w:t xml:space="preserve">LAUNCH INTO YOUR </w:t>
    </w:r>
    <w:proofErr w:type="gramStart"/>
    <w:r>
      <w:rPr>
        <w:b/>
        <w:color w:val="1D4289"/>
        <w:sz w:val="16"/>
      </w:rPr>
      <w:t>FUTURE  |</w:t>
    </w:r>
    <w:proofErr w:type="gramEnd"/>
    <w:r>
      <w:rPr>
        <w:b/>
        <w:color w:val="1D4289"/>
        <w:sz w:val="16"/>
      </w:rPr>
      <w:t xml:space="preserve">  COUNSELOR QUICK GUIDE 0</w:t>
    </w:r>
    <w:r w:rsidR="00A66B56">
      <w:rPr>
        <w:b/>
        <w:color w:val="1D4289"/>
        <w:sz w:val="16"/>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7924396">
    <w:abstractNumId w:val="8"/>
  </w:num>
  <w:num w:numId="2" w16cid:durableId="861623939">
    <w:abstractNumId w:val="6"/>
  </w:num>
  <w:num w:numId="3" w16cid:durableId="1370838046">
    <w:abstractNumId w:val="5"/>
  </w:num>
  <w:num w:numId="4" w16cid:durableId="702827079">
    <w:abstractNumId w:val="4"/>
  </w:num>
  <w:num w:numId="5" w16cid:durableId="1076130254">
    <w:abstractNumId w:val="7"/>
  </w:num>
  <w:num w:numId="6" w16cid:durableId="266738001">
    <w:abstractNumId w:val="3"/>
  </w:num>
  <w:num w:numId="7" w16cid:durableId="1419911988">
    <w:abstractNumId w:val="2"/>
  </w:num>
  <w:num w:numId="8" w16cid:durableId="995383367">
    <w:abstractNumId w:val="1"/>
  </w:num>
  <w:num w:numId="9" w16cid:durableId="9471562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266F6"/>
    <w:rsid w:val="00736963"/>
    <w:rsid w:val="0092486D"/>
    <w:rsid w:val="00A66B5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1328AE"/>
  <w14:defaultImageDpi w14:val="300"/>
  <w15:docId w15:val="{7BB20096-7831-AC4C-ACAC-2A95F33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Open Sans" w:hAnsi="Open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Trego Mike</cp:lastModifiedBy>
  <cp:revision>2</cp:revision>
  <dcterms:created xsi:type="dcterms:W3CDTF">2013-12-23T23:15:00Z</dcterms:created>
  <dcterms:modified xsi:type="dcterms:W3CDTF">2026-09-19T18:25:00Z</dcterms:modified>
  <cp:category/>
</cp:coreProperties>
</file>