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377440" cy="1132780"/>
            <wp:docPr id="1" name="Picture 1"/>
            <wp:cNvGraphicFramePr>
              <a:graphicFrameLocks noChangeAspect="1"/>
            </wp:cNvGraphicFramePr>
            <a:graphic>
              <a:graphicData uri="http://schemas.openxmlformats.org/drawingml/2006/picture">
                <pic:pic>
                  <pic:nvPicPr>
                    <pic:cNvPr id="0" name="launch_logo(2).png"/>
                    <pic:cNvPicPr/>
                  </pic:nvPicPr>
                  <pic:blipFill>
                    <a:blip r:embed="rId9"/>
                    <a:stretch>
                      <a:fillRect/>
                    </a:stretch>
                  </pic:blipFill>
                  <pic:spPr>
                    <a:xfrm>
                      <a:off x="0" y="0"/>
                      <a:ext cx="2377440" cy="1132780"/>
                    </a:xfrm>
                    <a:prstGeom prst="rect"/>
                  </pic:spPr>
                </pic:pic>
              </a:graphicData>
            </a:graphic>
          </wp:inline>
        </w:drawing>
      </w:r>
    </w:p>
    <w:p>
      <w:pPr>
        <w:jc w:val="center"/>
      </w:pPr>
      <w:r>
        <w:rPr>
          <w:rFonts w:ascii="Open Sans" w:hAnsi="Open Sans"/>
          <w:b/>
          <w:color w:val="1D4289"/>
          <w:sz w:val="18"/>
        </w:rPr>
        <w:t>LAUNCH INTO YOUR FUTURE | COUNSELOR QUICK GUIDE 09</w:t>
      </w:r>
    </w:p>
    <w:p>
      <w:pPr>
        <w:jc w:val="center"/>
      </w:pPr>
      <w:r>
        <w:rPr>
          <w:rFonts w:ascii="Open Sans" w:hAnsi="Open Sans"/>
          <w:b/>
          <w:color w:val="00B0B9"/>
          <w:sz w:val="26"/>
        </w:rPr>
        <w:t>COPILOT PRODUCTION SOURCE</w:t>
      </w:r>
    </w:p>
    <w:p>
      <w:pPr>
        <w:jc w:val="center"/>
      </w:pPr>
      <w:r>
        <w:rPr>
          <w:rFonts w:ascii="Open Sans" w:hAnsi="Open Sans"/>
          <w:b/>
          <w:color w:val="1D4289"/>
          <w:sz w:val="52"/>
        </w:rPr>
        <w:t>Short-Term Credentials</w:t>
      </w:r>
    </w:p>
    <w:p>
      <w:pPr>
        <w:jc w:val="center"/>
      </w:pPr>
      <w:r>
        <w:rPr>
          <w:rFonts w:ascii="Open Sans" w:hAnsi="Open Sans"/>
          <w:color w:val="24364B"/>
          <w:sz w:val="24"/>
        </w:rPr>
        <w:t>How counselors help students evaluate fast, focused training</w:t>
      </w:r>
    </w:p>
    <w:tbl>
      <w:tblPr>
        <w:tblW w:type="auto" w:w="0"/>
        <w:jc w:val="center"/>
        <w:tblLayout w:type="fixed"/>
        <w:tblLook w:firstColumn="1" w:firstRow="1" w:lastColumn="0" w:lastRow="0" w:noHBand="0" w:noVBand="1" w:val="04A0"/>
      </w:tblPr>
      <w:tblGrid>
        <w:gridCol w:w="3456"/>
        <w:gridCol w:w="3456"/>
        <w:gridCol w:w="3456"/>
      </w:tblGrid>
      <w:tr>
        <w:tc>
          <w:tcPr>
            <w:tcW w:type="dxa" w:w="3456"/>
            <w:shd w:fill="1D4289"/>
            <w:vAlign w:val="center"/>
            <w:tcMar>
              <w:top w:w="100" w:type="dxa"/>
              <w:start w:w="120" w:type="dxa"/>
              <w:bottom w:w="100" w:type="dxa"/>
              <w:end w:w="120" w:type="dxa"/>
            </w:tcMar>
          </w:tcPr>
          <w:p>
            <w:pPr>
              <w:jc w:val="center"/>
            </w:pPr>
            <w:r/>
            <w:r>
              <w:rPr>
                <w:rFonts w:ascii="Open Sans" w:hAnsi="Open Sans"/>
                <w:b/>
                <w:color w:val="FFFFFF"/>
                <w:sz w:val="20"/>
              </w:rPr>
              <w:t>AUDIENCE</w:t>
              <w:br/>
              <w:t>Delaware high school counselors</w:t>
            </w:r>
          </w:p>
        </w:tc>
        <w:tc>
          <w:tcPr>
            <w:tcW w:type="dxa" w:w="3456"/>
            <w:shd w:fill="00B0B9"/>
            <w:vAlign w:val="center"/>
            <w:tcMar>
              <w:top w:w="100" w:type="dxa"/>
              <w:start w:w="120" w:type="dxa"/>
              <w:bottom w:w="100" w:type="dxa"/>
              <w:end w:w="120" w:type="dxa"/>
            </w:tcMar>
          </w:tcPr>
          <w:p>
            <w:pPr>
              <w:jc w:val="center"/>
            </w:pPr>
            <w:r/>
            <w:r>
              <w:rPr>
                <w:rFonts w:ascii="Open Sans" w:hAnsi="Open Sans"/>
                <w:b/>
                <w:color w:val="FFFFFF"/>
                <w:sz w:val="20"/>
              </w:rPr>
              <w:t>TARGET</w:t>
              <w:br/>
              <w:t>2:30-2:50</w:t>
            </w:r>
          </w:p>
        </w:tc>
        <w:tc>
          <w:tcPr>
            <w:tcW w:type="dxa" w:w="3456"/>
            <w:shd w:fill="FF6720"/>
            <w:vAlign w:val="center"/>
            <w:tcMar>
              <w:top w:w="100" w:type="dxa"/>
              <w:start w:w="120" w:type="dxa"/>
              <w:bottom w:w="100" w:type="dxa"/>
              <w:end w:w="120" w:type="dxa"/>
            </w:tcMar>
          </w:tcPr>
          <w:p>
            <w:pPr>
              <w:jc w:val="center"/>
            </w:pPr>
            <w:r/>
            <w:r>
              <w:rPr>
                <w:rFonts w:ascii="Open Sans" w:hAnsi="Open Sans"/>
                <w:b/>
                <w:color w:val="FFFFFF"/>
                <w:sz w:val="20"/>
              </w:rPr>
              <w:t>FORMAT</w:t>
              <w:br/>
              <w:t>16:9 professional microlearning</w:t>
            </w:r>
          </w:p>
        </w:tc>
      </w:tr>
    </w:tbl>
    <w:p>
      <w:pPr>
        <w:spacing w:before="200" w:after="100"/>
      </w:pPr>
      <w:r>
        <w:rPr>
          <w:rFonts w:ascii="Open Sans" w:hAnsi="Open Sans"/>
          <w:b/>
          <w:color w:val="1D4289"/>
          <w:sz w:val="36"/>
        </w:rPr>
        <w:t>Production intent</w:t>
      </w:r>
    </w:p>
    <w:p>
      <w:pPr>
        <w:spacing w:after="120" w:line="259" w:lineRule="auto"/>
      </w:pPr>
      <w:r>
        <w:rPr>
          <w:rFonts w:ascii="Open Sans" w:hAnsi="Open Sans"/>
          <w:color w:val="24364B"/>
          <w:sz w:val="21"/>
        </w:rPr>
        <w:t>This video is about decision quality, not about steering students toward or away from short-term training. The counselor helps a student connect a career goal to a focused training option and ask enough questions to understand what the program leads to, what it costs, and what comes next.</w:t>
      </w:r>
    </w:p>
    <w:p>
      <w:pPr>
        <w:spacing w:before="200" w:after="100"/>
      </w:pPr>
      <w:r>
        <w:rPr>
          <w:rFonts w:ascii="Open Sans" w:hAnsi="Open Sans"/>
          <w:b/>
          <w:color w:val="00B0B9"/>
          <w:sz w:val="28"/>
        </w:rPr>
        <w:t>Locked series identity</w:t>
      </w:r>
    </w:p>
    <w:p>
      <w:pPr>
        <w:pStyle w:val="ListBullet"/>
        <w:spacing w:after="60"/>
      </w:pPr>
      <w:r>
        <w:rPr>
          <w:rFonts w:ascii="Open Sans" w:hAnsi="Open Sans"/>
          <w:color w:val="24364B"/>
          <w:sz w:val="20"/>
        </w:rPr>
        <w:t>Use the supplied Launch Into Your Future logo accurately.</w:t>
      </w:r>
    </w:p>
    <w:p>
      <w:pPr>
        <w:pStyle w:val="ListBullet"/>
        <w:spacing w:after="60"/>
      </w:pPr>
      <w:r>
        <w:rPr>
          <w:rFonts w:ascii="Open Sans" w:hAnsi="Open Sans"/>
          <w:color w:val="24364B"/>
          <w:sz w:val="20"/>
        </w:rPr>
        <w:t>Open Sans typography. Approved palette: #1D4289 blue, #00B0B9 teal, #FF6720 orange; #009F4D green and #FFB81C gold selectively.</w:t>
      </w:r>
    </w:p>
    <w:p>
      <w:pPr>
        <w:pStyle w:val="ListBullet"/>
        <w:spacing w:after="60"/>
      </w:pPr>
      <w:r>
        <w:rPr>
          <w:rFonts w:ascii="Open Sans" w:hAnsi="Open Sans"/>
          <w:color w:val="24364B"/>
          <w:sz w:val="20"/>
        </w:rPr>
        <w:t>Use the established series architecture: title opener -&gt; hook -&gt; understand it -&gt; advise it -&gt; navigate it -&gt; Your Next Move -&gt; Keep Exploring -&gt; common sign-off.</w:t>
      </w:r>
    </w:p>
    <w:p>
      <w:pPr>
        <w:pStyle w:val="ListBullet"/>
        <w:spacing w:after="60"/>
      </w:pPr>
      <w:r>
        <w:rPr>
          <w:rFonts w:ascii="Open Sans" w:hAnsi="Open Sans"/>
          <w:color w:val="24364B"/>
          <w:sz w:val="20"/>
        </w:rPr>
        <w:t>Final sign-off: “Launch Into Your Future. Every student. A next step. A way forward.”</w:t>
      </w:r>
    </w:p>
    <w:p>
      <w:r>
        <w:br w:type="page"/>
      </w:r>
    </w:p>
    <w:p>
      <w:pPr>
        <w:spacing w:before="200" w:after="100"/>
      </w:pPr>
      <w:r>
        <w:rPr>
          <w:rFonts w:ascii="Open Sans" w:hAnsi="Open Sans"/>
          <w:b/>
          <w:color w:val="1D4289"/>
          <w:sz w:val="36"/>
        </w:rPr>
        <w:t>FINAL NARRATION — READ VERBATIM</w:t>
      </w:r>
    </w:p>
    <w:p>
      <w:pPr>
        <w:spacing w:after="120" w:line="259" w:lineRule="auto"/>
      </w:pPr>
      <w:r>
        <w:rPr>
          <w:rFonts w:ascii="Open Sans" w:hAnsi="Open Sans"/>
          <w:color w:val="24364B"/>
          <w:sz w:val="21"/>
        </w:rPr>
        <w:t>Use this narration exactly as written. Do not paraphrase, summarize, expand, or replace it.</w:t>
      </w:r>
    </w:p>
    <w:p>
      <w:pPr>
        <w:spacing w:before="140" w:after="40"/>
      </w:pPr>
      <w:r>
        <w:rPr>
          <w:rFonts w:ascii="Open Sans" w:hAnsi="Open Sans"/>
          <w:b/>
          <w:color w:val="00B0B9"/>
          <w:sz w:val="20"/>
        </w:rPr>
        <w:t>OPEN / HOOK</w:t>
      </w:r>
    </w:p>
    <w:p>
      <w:pPr>
        <w:spacing w:after="120" w:line="259" w:lineRule="auto"/>
      </w:pPr>
      <w:r>
        <w:rPr>
          <w:rFonts w:ascii="Open Sans" w:hAnsi="Open Sans"/>
          <w:color w:val="24364B"/>
          <w:sz w:val="21"/>
        </w:rPr>
        <w:t>A student says, “I found a training program I can finish in a few months. Is it worth it?” That is a great counselor conversation. Short-term credentials can create focused, practical routes into careers — but the value is not simply that a program is short. The goal is to understand what the student earns, what it connects to, and what opportunity can come next.</w:t>
      </w:r>
    </w:p>
    <w:p>
      <w:pPr>
        <w:spacing w:before="140" w:after="40"/>
      </w:pPr>
      <w:r>
        <w:rPr>
          <w:rFonts w:ascii="Open Sans" w:hAnsi="Open Sans"/>
          <w:b/>
          <w:color w:val="00B0B9"/>
          <w:sz w:val="20"/>
        </w:rPr>
        <w:t>START WITH THE CAREER GOAL</w:t>
      </w:r>
    </w:p>
    <w:p>
      <w:pPr>
        <w:spacing w:after="120" w:line="259" w:lineRule="auto"/>
      </w:pPr>
      <w:r>
        <w:rPr>
          <w:rFonts w:ascii="Open Sans" w:hAnsi="Open Sans"/>
          <w:color w:val="24364B"/>
          <w:sz w:val="21"/>
        </w:rPr>
        <w:t>Start with the destination. What occupation or career field is the student trying to enter? Then work backward. What skills, credential, certification, or license does that field actually value? A strong short-term program should connect the learning to a clear next step — not just to a completion certificate.</w:t>
      </w:r>
    </w:p>
    <w:p>
      <w:pPr>
        <w:spacing w:before="140" w:after="40"/>
      </w:pPr>
      <w:r>
        <w:rPr>
          <w:rFonts w:ascii="Open Sans" w:hAnsi="Open Sans"/>
          <w:b/>
          <w:color w:val="00B0B9"/>
          <w:sz w:val="20"/>
        </w:rPr>
        <w:t>UNDERSTAND WHAT THE STUDENT EARNS</w:t>
      </w:r>
    </w:p>
    <w:p>
      <w:pPr>
        <w:spacing w:after="120" w:line="259" w:lineRule="auto"/>
      </w:pPr>
      <w:r>
        <w:rPr>
          <w:rFonts w:ascii="Open Sans" w:hAnsi="Open Sans"/>
          <w:color w:val="24364B"/>
          <w:sz w:val="21"/>
        </w:rPr>
        <w:t>Next, clarify the outcome. Ask: What exactly will the student earn when the program is completed? Is it a certificate from the training provider, preparation for an industry certification, preparation for a license, college credit, or another recognized credential? Those are not automatically the same thing. The answer helps the student understand what the training is designed to accomplish.</w:t>
      </w:r>
    </w:p>
    <w:p>
      <w:pPr>
        <w:spacing w:before="140" w:after="40"/>
      </w:pPr>
      <w:r>
        <w:rPr>
          <w:rFonts w:ascii="Open Sans" w:hAnsi="Open Sans"/>
          <w:b/>
          <w:color w:val="00B0B9"/>
          <w:sz w:val="20"/>
        </w:rPr>
        <w:t>LOOK AT THE FULL VALUE</w:t>
      </w:r>
    </w:p>
    <w:p>
      <w:pPr>
        <w:spacing w:after="120" w:line="259" w:lineRule="auto"/>
      </w:pPr>
      <w:r>
        <w:rPr>
          <w:rFonts w:ascii="Open Sans" w:hAnsi="Open Sans"/>
          <w:color w:val="24364B"/>
          <w:sz w:val="21"/>
        </w:rPr>
        <w:t>Then look beyond the program title. How long does the training take? What is the total cost? Are books, equipment, testing, transportation, or other expenses separate? Does the program include hands-on learning, employer connections, work-based learning, or support finding employment? And can the learning build toward another credential or additional education later?</w:t>
      </w:r>
    </w:p>
    <w:p>
      <w:pPr>
        <w:spacing w:before="140" w:after="40"/>
      </w:pPr>
      <w:r>
        <w:rPr>
          <w:rFonts w:ascii="Open Sans" w:hAnsi="Open Sans"/>
          <w:b/>
          <w:color w:val="00B0B9"/>
          <w:sz w:val="20"/>
        </w:rPr>
        <w:t>USE REAL INFORMATION</w:t>
      </w:r>
    </w:p>
    <w:p>
      <w:pPr>
        <w:spacing w:after="120" w:line="259" w:lineRule="auto"/>
      </w:pPr>
      <w:r>
        <w:rPr>
          <w:rFonts w:ascii="Open Sans" w:hAnsi="Open Sans"/>
          <w:color w:val="24364B"/>
          <w:sz w:val="21"/>
        </w:rPr>
        <w:t>Counselors do not need to judge a training provider from a brochure. Help students verify information using the provider, Delaware JobLink, employers, and other official sources. Delaware JobLink lets users search training programs and providers and includes information such as credential type, program length, cost, and approved WIOA providers. That gives students a stronger starting point for comparing options.</w:t>
      </w:r>
    </w:p>
    <w:p>
      <w:pPr>
        <w:spacing w:before="140" w:after="40"/>
      </w:pPr>
      <w:r>
        <w:rPr>
          <w:rFonts w:ascii="Open Sans" w:hAnsi="Open Sans"/>
          <w:b/>
          <w:color w:val="00B0B9"/>
          <w:sz w:val="20"/>
        </w:rPr>
        <w:t>COUNSELOR ROLE</w:t>
      </w:r>
    </w:p>
    <w:p>
      <w:pPr>
        <w:spacing w:after="120" w:line="259" w:lineRule="auto"/>
      </w:pPr>
      <w:r>
        <w:rPr>
          <w:rFonts w:ascii="Open Sans" w:hAnsi="Open Sans"/>
          <w:color w:val="24364B"/>
          <w:sz w:val="21"/>
        </w:rPr>
        <w:t>The counselor’s role is to turn “This program looks interesting” into a better decision. Connect the career goal to the training. Clarify what the student earns. Compare time and total cost. Look for hands-on learning and employer relevance. Then help the student identify the next opportunity the credential is meant to unlock.</w:t>
      </w:r>
    </w:p>
    <w:p>
      <w:pPr>
        <w:spacing w:before="140" w:after="40"/>
      </w:pPr>
      <w:r>
        <w:rPr>
          <w:rFonts w:ascii="Open Sans" w:hAnsi="Open Sans"/>
          <w:b/>
          <w:color w:val="00B0B9"/>
          <w:sz w:val="20"/>
        </w:rPr>
        <w:t>NEXT MOVE / SIGN-OFF</w:t>
      </w:r>
    </w:p>
    <w:p>
      <w:pPr>
        <w:spacing w:after="120" w:line="259" w:lineRule="auto"/>
      </w:pPr>
      <w:r>
        <w:rPr>
          <w:rFonts w:ascii="Open Sans" w:hAnsi="Open Sans"/>
          <w:color w:val="24364B"/>
          <w:sz w:val="21"/>
        </w:rPr>
        <w:t>Your next move: when a student brings you a short-term training option, ask four questions: What career does it lead toward? What exactly will I earn? What will the full program cost and require? And what can I do next after completing it? Keep exploring with Delaware JobLink and the training provider’s official information. Launch Into Your Future. Every student. A next step. A way forward.</w:t>
      </w:r>
    </w:p>
    <w:p>
      <w:r>
        <w:br w:type="page"/>
      </w:r>
    </w:p>
    <w:p>
      <w:pPr>
        <w:spacing w:before="200" w:after="100"/>
      </w:pPr>
      <w:r>
        <w:rPr>
          <w:rFonts w:ascii="Open Sans" w:hAnsi="Open Sans"/>
          <w:b/>
          <w:color w:val="1D4289"/>
          <w:sz w:val="36"/>
        </w:rPr>
        <w:t>Counselor content guardrails</w:t>
      </w:r>
    </w:p>
    <w:p>
      <w:pPr>
        <w:pStyle w:val="ListBullet"/>
        <w:spacing w:after="60"/>
      </w:pPr>
      <w:r>
        <w:rPr>
          <w:rFonts w:ascii="Open Sans" w:hAnsi="Open Sans"/>
          <w:color w:val="24364B"/>
          <w:sz w:val="20"/>
        </w:rPr>
        <w:t>Stay asset-minded: short-term training can be a strong option when it connects clearly to the student’s goal.</w:t>
      </w:r>
    </w:p>
    <w:p>
      <w:pPr>
        <w:pStyle w:val="ListBullet"/>
        <w:spacing w:after="60"/>
      </w:pPr>
      <w:r>
        <w:rPr>
          <w:rFonts w:ascii="Open Sans" w:hAnsi="Open Sans"/>
          <w:color w:val="24364B"/>
          <w:sz w:val="20"/>
        </w:rPr>
        <w:t>Distinguish the training program from the credential or outcome it may lead to. Do not use “program,” “certificate,” “certification,” and “license” as interchangeable terms.</w:t>
      </w:r>
    </w:p>
    <w:p>
      <w:pPr>
        <w:pStyle w:val="ListBullet"/>
        <w:spacing w:after="60"/>
      </w:pPr>
      <w:r>
        <w:rPr>
          <w:rFonts w:ascii="Open Sans" w:hAnsi="Open Sans"/>
          <w:color w:val="24364B"/>
          <w:sz w:val="20"/>
        </w:rPr>
        <w:t>Do not promise employment, wages, employer recognition, licensure, certification, transfer credit, funding eligibility, or a particular outcome.</w:t>
      </w:r>
    </w:p>
    <w:p>
      <w:pPr>
        <w:pStyle w:val="ListBullet"/>
        <w:spacing w:after="60"/>
      </w:pPr>
      <w:r>
        <w:rPr>
          <w:rFonts w:ascii="Open Sans" w:hAnsi="Open Sans"/>
          <w:color w:val="24364B"/>
          <w:sz w:val="20"/>
        </w:rPr>
        <w:t>Do not imply that WIOA-provider status means a program is the best choice for every student. Use Delaware JobLink as an official search and comparison starting point.</w:t>
      </w:r>
    </w:p>
    <w:p>
      <w:pPr>
        <w:pStyle w:val="ListBullet"/>
        <w:spacing w:after="60"/>
      </w:pPr>
      <w:r>
        <w:rPr>
          <w:rFonts w:ascii="Open Sans" w:hAnsi="Open Sans"/>
          <w:color w:val="24364B"/>
          <w:sz w:val="20"/>
        </w:rPr>
        <w:t>Do not invent current program costs, durations, credentials, employer partners, eligibility rules, or funding amounts.</w:t>
      </w:r>
    </w:p>
    <w:p>
      <w:pPr>
        <w:pStyle w:val="ListBullet"/>
        <w:spacing w:after="60"/>
      </w:pPr>
      <w:r>
        <w:rPr>
          <w:rFonts w:ascii="Open Sans" w:hAnsi="Open Sans"/>
          <w:color w:val="24364B"/>
          <w:sz w:val="20"/>
        </w:rPr>
        <w:t>Where a credential or license is required for an occupation, direct the student to verify current requirements with the appropriate official source.</w:t>
      </w:r>
    </w:p>
    <w:p>
      <w:pPr>
        <w:spacing w:before="200" w:after="100"/>
      </w:pPr>
      <w:r>
        <w:rPr>
          <w:rFonts w:ascii="Open Sans" w:hAnsi="Open Sans"/>
          <w:b/>
          <w:color w:val="00B0B9"/>
          <w:sz w:val="28"/>
        </w:rPr>
        <w:t>Core teaching frame</w:t>
      </w:r>
    </w:p>
    <w:p>
      <w:pPr>
        <w:spacing w:after="80"/>
      </w:pPr>
      <w:r>
        <w:rPr>
          <w:rFonts w:ascii="Open Sans" w:hAnsi="Open Sans"/>
          <w:b/>
          <w:color w:val="1D4289"/>
          <w:sz w:val="20"/>
        </w:rPr>
        <w:t xml:space="preserve">1. CAREER CONNECTION — </w:t>
      </w:r>
      <w:r>
        <w:rPr>
          <w:rFonts w:ascii="Open Sans" w:hAnsi="Open Sans"/>
          <w:color w:val="24364B"/>
          <w:sz w:val="20"/>
        </w:rPr>
        <w:t>What occupation or field is the student trying to enter?</w:t>
      </w:r>
    </w:p>
    <w:p>
      <w:pPr>
        <w:spacing w:after="80"/>
      </w:pPr>
      <w:r>
        <w:rPr>
          <w:rFonts w:ascii="Open Sans" w:hAnsi="Open Sans"/>
          <w:b/>
          <w:color w:val="1D4289"/>
          <w:sz w:val="20"/>
        </w:rPr>
        <w:t xml:space="preserve">2. OUTCOME — </w:t>
      </w:r>
      <w:r>
        <w:rPr>
          <w:rFonts w:ascii="Open Sans" w:hAnsi="Open Sans"/>
          <w:color w:val="24364B"/>
          <w:sz w:val="20"/>
        </w:rPr>
        <w:t>What exactly does the student earn or become prepared to earn?</w:t>
      </w:r>
    </w:p>
    <w:p>
      <w:pPr>
        <w:spacing w:after="80"/>
      </w:pPr>
      <w:r>
        <w:rPr>
          <w:rFonts w:ascii="Open Sans" w:hAnsi="Open Sans"/>
          <w:b/>
          <w:color w:val="1D4289"/>
          <w:sz w:val="20"/>
        </w:rPr>
        <w:t xml:space="preserve">3. INVESTMENT — </w:t>
      </w:r>
      <w:r>
        <w:rPr>
          <w:rFonts w:ascii="Open Sans" w:hAnsi="Open Sans"/>
          <w:color w:val="24364B"/>
          <w:sz w:val="20"/>
        </w:rPr>
        <w:t>What are the full time, cost, and participation requirements?</w:t>
      </w:r>
    </w:p>
    <w:p>
      <w:pPr>
        <w:spacing w:after="80"/>
      </w:pPr>
      <w:r>
        <w:rPr>
          <w:rFonts w:ascii="Open Sans" w:hAnsi="Open Sans"/>
          <w:b/>
          <w:color w:val="1D4289"/>
          <w:sz w:val="20"/>
        </w:rPr>
        <w:t xml:space="preserve">4. EXPERIENCE — </w:t>
      </w:r>
      <w:r>
        <w:rPr>
          <w:rFonts w:ascii="Open Sans" w:hAnsi="Open Sans"/>
          <w:color w:val="24364B"/>
          <w:sz w:val="20"/>
        </w:rPr>
        <w:t>Does the program include hands-on learning, employer connection, or work-based learning?</w:t>
      </w:r>
    </w:p>
    <w:p>
      <w:pPr>
        <w:spacing w:after="80"/>
      </w:pPr>
      <w:r>
        <w:rPr>
          <w:rFonts w:ascii="Open Sans" w:hAnsi="Open Sans"/>
          <w:b/>
          <w:color w:val="1D4289"/>
          <w:sz w:val="20"/>
        </w:rPr>
        <w:t xml:space="preserve">5. NEXT STEP — </w:t>
      </w:r>
      <w:r>
        <w:rPr>
          <w:rFonts w:ascii="Open Sans" w:hAnsi="Open Sans"/>
          <w:color w:val="24364B"/>
          <w:sz w:val="20"/>
        </w:rPr>
        <w:t>What opportunity can the student pursue after completion?</w:t>
      </w:r>
    </w:p>
    <w:p>
      <w:r>
        <w:br w:type="page"/>
      </w:r>
    </w:p>
    <w:p>
      <w:pPr>
        <w:spacing w:before="200" w:after="100"/>
      </w:pPr>
      <w:r>
        <w:rPr>
          <w:rFonts w:ascii="Open Sans" w:hAnsi="Open Sans"/>
          <w:b/>
          <w:color w:val="1D4289"/>
          <w:sz w:val="36"/>
        </w:rPr>
        <w:t>Directed visual plan — simple, editable, Clipchamp-ready</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1D4289"/>
            <w:vAlign w:val="center"/>
            <w:tcMar>
              <w:top w:w="100" w:type="dxa"/>
              <w:start w:w="120" w:type="dxa"/>
              <w:bottom w:w="100" w:type="dxa"/>
              <w:end w:w="120" w:type="dxa"/>
            </w:tcMar>
          </w:tcPr>
          <w:p>
            <w:pPr>
              <w:jc w:val="center"/>
            </w:pPr>
            <w:r/>
            <w:r>
              <w:rPr>
                <w:rFonts w:ascii="Open Sans" w:hAnsi="Open Sans"/>
                <w:b/>
                <w:color w:val="FFFFFF"/>
                <w:sz w:val="18"/>
              </w:rPr>
              <w:t>TIME</w:t>
            </w:r>
          </w:p>
        </w:tc>
        <w:tc>
          <w:tcPr>
            <w:tcW w:type="dxa" w:w="3456"/>
            <w:shd w:fill="1D4289"/>
            <w:vAlign w:val="center"/>
            <w:tcMar>
              <w:top w:w="100" w:type="dxa"/>
              <w:start w:w="120" w:type="dxa"/>
              <w:bottom w:w="100" w:type="dxa"/>
              <w:end w:w="120" w:type="dxa"/>
            </w:tcMar>
          </w:tcPr>
          <w:p>
            <w:pPr>
              <w:jc w:val="center"/>
            </w:pPr>
            <w:r/>
            <w:r>
              <w:rPr>
                <w:rFonts w:ascii="Open Sans" w:hAnsi="Open Sans"/>
                <w:b/>
                <w:color w:val="FFFFFF"/>
                <w:sz w:val="18"/>
              </w:rPr>
              <w:t>BEAT</w:t>
            </w:r>
          </w:p>
        </w:tc>
        <w:tc>
          <w:tcPr>
            <w:tcW w:type="dxa" w:w="3456"/>
            <w:shd w:fill="1D4289"/>
            <w:vAlign w:val="center"/>
            <w:tcMar>
              <w:top w:w="100" w:type="dxa"/>
              <w:start w:w="120" w:type="dxa"/>
              <w:bottom w:w="100" w:type="dxa"/>
              <w:end w:w="120" w:type="dxa"/>
            </w:tcMar>
          </w:tcPr>
          <w:p>
            <w:pPr>
              <w:jc w:val="center"/>
            </w:pPr>
            <w:r/>
            <w:r>
              <w:rPr>
                <w:rFonts w:ascii="Open Sans" w:hAnsi="Open Sans"/>
                <w:b/>
                <w:color w:val="FFFFFF"/>
                <w:sz w:val="18"/>
              </w:rPr>
              <w:t>VISUAL DIRECTION</w:t>
            </w:r>
          </w:p>
        </w:tc>
      </w:tr>
      <w:tr>
        <w:tc>
          <w:tcPr>
            <w:tcW w:type="dxa" w:w="3456"/>
            <w:vAlign w:val="center"/>
            <w:tcMar>
              <w:top w:w="100" w:type="dxa"/>
              <w:start w:w="120" w:type="dxa"/>
              <w:bottom w:w="100" w:type="dxa"/>
              <w:end w:w="120" w:type="dxa"/>
            </w:tcMar>
            <w:shd w:fill="FFFFFF"/>
          </w:tcPr>
          <w:p>
            <w:pPr>
              <w:jc w:val="left"/>
            </w:pPr>
            <w:r/>
            <w:r>
              <w:rPr>
                <w:rFonts w:ascii="Open Sans" w:hAnsi="Open Sans"/>
                <w:b w:val="0"/>
                <w:color w:val="24364B"/>
                <w:sz w:val="18"/>
              </w:rPr>
              <w:t>0:00-0:07</w:t>
            </w:r>
          </w:p>
        </w:tc>
        <w:tc>
          <w:tcPr>
            <w:tcW w:type="dxa" w:w="3456"/>
            <w:vAlign w:val="center"/>
            <w:tcMar>
              <w:top w:w="100" w:type="dxa"/>
              <w:start w:w="120" w:type="dxa"/>
              <w:bottom w:w="100" w:type="dxa"/>
              <w:end w:w="120" w:type="dxa"/>
            </w:tcMar>
            <w:shd w:fill="FFFFFF"/>
          </w:tcPr>
          <w:p>
            <w:pPr>
              <w:jc w:val="left"/>
            </w:pPr>
            <w:r/>
            <w:r>
              <w:rPr>
                <w:rFonts w:ascii="Open Sans" w:hAnsi="Open Sans"/>
                <w:b/>
                <w:color w:val="24364B"/>
                <w:sz w:val="18"/>
              </w:rPr>
              <w:t>SERIES OPENER</w:t>
            </w:r>
          </w:p>
        </w:tc>
        <w:tc>
          <w:tcPr>
            <w:tcW w:type="dxa" w:w="3456"/>
            <w:vAlign w:val="center"/>
            <w:tcMar>
              <w:top w:w="100" w:type="dxa"/>
              <w:start w:w="120" w:type="dxa"/>
              <w:bottom w:w="100" w:type="dxa"/>
              <w:end w:w="120" w:type="dxa"/>
            </w:tcMar>
            <w:shd w:fill="FFFFFF"/>
          </w:tcPr>
          <w:p>
            <w:pPr>
              <w:jc w:val="left"/>
            </w:pPr>
            <w:r/>
            <w:r>
              <w:rPr>
                <w:rFonts w:ascii="Open Sans" w:hAnsi="Open Sans"/>
                <w:b w:val="0"/>
                <w:color w:val="24364B"/>
                <w:sz w:val="18"/>
              </w:rPr>
              <w:t>Launch logo + COUNSELOR QUICK GUIDE + SHORT-TERM CREDENTIALS + What counselors need to know. Brand graphics only.</w:t>
            </w:r>
          </w:p>
        </w:tc>
      </w:tr>
      <w:tr>
        <w:tc>
          <w:tcPr>
            <w:tcW w:type="dxa" w:w="3456"/>
            <w:vAlign w:val="center"/>
            <w:tcMar>
              <w:top w:w="100" w:type="dxa"/>
              <w:start w:w="120" w:type="dxa"/>
              <w:bottom w:w="100" w:type="dxa"/>
              <w:end w:w="120" w:type="dxa"/>
            </w:tcMar>
            <w:shd w:fill="FFFFFF"/>
          </w:tcPr>
          <w:p>
            <w:pPr>
              <w:jc w:val="left"/>
            </w:pPr>
            <w:r/>
            <w:r>
              <w:rPr>
                <w:rFonts w:ascii="Open Sans" w:hAnsi="Open Sans"/>
                <w:b w:val="0"/>
                <w:color w:val="24364B"/>
                <w:sz w:val="18"/>
              </w:rPr>
              <w:t>0:07-0:28</w:t>
            </w:r>
          </w:p>
        </w:tc>
        <w:tc>
          <w:tcPr>
            <w:tcW w:type="dxa" w:w="3456"/>
            <w:vAlign w:val="center"/>
            <w:tcMar>
              <w:top w:w="100" w:type="dxa"/>
              <w:start w:w="120" w:type="dxa"/>
              <w:bottom w:w="100" w:type="dxa"/>
              <w:end w:w="120" w:type="dxa"/>
            </w:tcMar>
            <w:shd w:fill="FFFFFF"/>
          </w:tcPr>
          <w:p>
            <w:pPr>
              <w:jc w:val="left"/>
            </w:pPr>
            <w:r/>
            <w:r>
              <w:rPr>
                <w:rFonts w:ascii="Open Sans" w:hAnsi="Open Sans"/>
                <w:b/>
                <w:color w:val="24364B"/>
                <w:sz w:val="18"/>
              </w:rPr>
              <w:t>HOOK</w:t>
            </w:r>
          </w:p>
        </w:tc>
        <w:tc>
          <w:tcPr>
            <w:tcW w:type="dxa" w:w="3456"/>
            <w:vAlign w:val="center"/>
            <w:tcMar>
              <w:top w:w="100" w:type="dxa"/>
              <w:start w:w="120" w:type="dxa"/>
              <w:bottom w:w="100" w:type="dxa"/>
              <w:end w:w="120" w:type="dxa"/>
            </w:tcMar>
            <w:shd w:fill="FFFFFF"/>
          </w:tcPr>
          <w:p>
            <w:pPr>
              <w:jc w:val="left"/>
            </w:pPr>
            <w:r/>
            <w:r>
              <w:rPr>
                <w:rFonts w:ascii="Open Sans" w:hAnsi="Open Sans"/>
                <w:b w:val="0"/>
                <w:color w:val="24364B"/>
                <w:sz w:val="18"/>
              </w:rPr>
              <w:t>Counselor and student comparing a short-term training option. Text card: SHORT CAN BE POWERFUL — WHEN IT CONNECTS TO A CLEAR NEXT STEP.</w:t>
            </w:r>
          </w:p>
        </w:tc>
      </w:tr>
      <w:tr>
        <w:tc>
          <w:tcPr>
            <w:tcW w:type="dxa" w:w="3456"/>
            <w:vAlign w:val="center"/>
            <w:tcMar>
              <w:top w:w="100" w:type="dxa"/>
              <w:start w:w="120" w:type="dxa"/>
              <w:bottom w:w="100" w:type="dxa"/>
              <w:end w:w="120" w:type="dxa"/>
            </w:tcMar>
            <w:shd w:fill="FFFFFF"/>
          </w:tcPr>
          <w:p>
            <w:pPr>
              <w:jc w:val="left"/>
            </w:pPr>
            <w:r/>
            <w:r>
              <w:rPr>
                <w:rFonts w:ascii="Open Sans" w:hAnsi="Open Sans"/>
                <w:b w:val="0"/>
                <w:color w:val="24364B"/>
                <w:sz w:val="18"/>
              </w:rPr>
              <w:t>0:28-0:52</w:t>
            </w:r>
          </w:p>
        </w:tc>
        <w:tc>
          <w:tcPr>
            <w:tcW w:type="dxa" w:w="3456"/>
            <w:vAlign w:val="center"/>
            <w:tcMar>
              <w:top w:w="100" w:type="dxa"/>
              <w:start w:w="120" w:type="dxa"/>
              <w:bottom w:w="100" w:type="dxa"/>
              <w:end w:w="120" w:type="dxa"/>
            </w:tcMar>
            <w:shd w:fill="FFFFFF"/>
          </w:tcPr>
          <w:p>
            <w:pPr>
              <w:jc w:val="left"/>
            </w:pPr>
            <w:r/>
            <w:r>
              <w:rPr>
                <w:rFonts w:ascii="Open Sans" w:hAnsi="Open Sans"/>
                <w:b/>
                <w:color w:val="24364B"/>
                <w:sz w:val="18"/>
              </w:rPr>
              <w:t>CAREER GOAL</w:t>
            </w:r>
          </w:p>
        </w:tc>
        <w:tc>
          <w:tcPr>
            <w:tcW w:type="dxa" w:w="3456"/>
            <w:vAlign w:val="center"/>
            <w:tcMar>
              <w:top w:w="100" w:type="dxa"/>
              <w:start w:w="120" w:type="dxa"/>
              <w:bottom w:w="100" w:type="dxa"/>
              <w:end w:w="120" w:type="dxa"/>
            </w:tcMar>
            <w:shd w:fill="FFFFFF"/>
          </w:tcPr>
          <w:p>
            <w:pPr>
              <w:jc w:val="left"/>
            </w:pPr>
            <w:r/>
            <w:r>
              <w:rPr>
                <w:rFonts w:ascii="Open Sans" w:hAnsi="Open Sans"/>
                <w:b w:val="0"/>
                <w:color w:val="24364B"/>
                <w:sz w:val="18"/>
              </w:rPr>
              <w:t>Positive career/training imagery. Text: START WITH THE DESTINATION. What career is the student trying to enter?</w:t>
            </w:r>
          </w:p>
        </w:tc>
      </w:tr>
      <w:tr>
        <w:tc>
          <w:tcPr>
            <w:tcW w:type="dxa" w:w="3456"/>
            <w:vAlign w:val="center"/>
            <w:tcMar>
              <w:top w:w="100" w:type="dxa"/>
              <w:start w:w="120" w:type="dxa"/>
              <w:bottom w:w="100" w:type="dxa"/>
              <w:end w:w="120" w:type="dxa"/>
            </w:tcMar>
            <w:shd w:fill="FFFFFF"/>
          </w:tcPr>
          <w:p>
            <w:pPr>
              <w:jc w:val="left"/>
            </w:pPr>
            <w:r/>
            <w:r>
              <w:rPr>
                <w:rFonts w:ascii="Open Sans" w:hAnsi="Open Sans"/>
                <w:b w:val="0"/>
                <w:color w:val="24364B"/>
                <w:sz w:val="18"/>
              </w:rPr>
              <w:t>0:52-1:18</w:t>
            </w:r>
          </w:p>
        </w:tc>
        <w:tc>
          <w:tcPr>
            <w:tcW w:type="dxa" w:w="3456"/>
            <w:vAlign w:val="center"/>
            <w:tcMar>
              <w:top w:w="100" w:type="dxa"/>
              <w:start w:w="120" w:type="dxa"/>
              <w:bottom w:w="100" w:type="dxa"/>
              <w:end w:w="120" w:type="dxa"/>
            </w:tcMar>
            <w:shd w:fill="FFFFFF"/>
          </w:tcPr>
          <w:p>
            <w:pPr>
              <w:jc w:val="left"/>
            </w:pPr>
            <w:r/>
            <w:r>
              <w:rPr>
                <w:rFonts w:ascii="Open Sans" w:hAnsi="Open Sans"/>
                <w:b/>
                <w:color w:val="24364B"/>
                <w:sz w:val="18"/>
              </w:rPr>
              <w:t>WHAT DO I EARN?</w:t>
            </w:r>
          </w:p>
        </w:tc>
        <w:tc>
          <w:tcPr>
            <w:tcW w:type="dxa" w:w="3456"/>
            <w:vAlign w:val="center"/>
            <w:tcMar>
              <w:top w:w="100" w:type="dxa"/>
              <w:start w:w="120" w:type="dxa"/>
              <w:bottom w:w="100" w:type="dxa"/>
              <w:end w:w="120" w:type="dxa"/>
            </w:tcMar>
            <w:shd w:fill="FFFFFF"/>
          </w:tcPr>
          <w:p>
            <w:pPr>
              <w:jc w:val="left"/>
            </w:pPr>
            <w:r/>
            <w:r>
              <w:rPr>
                <w:rFonts w:ascii="Open Sans" w:hAnsi="Open Sans"/>
                <w:b w:val="0"/>
                <w:color w:val="24364B"/>
                <w:sz w:val="18"/>
              </w:rPr>
              <w:t>Simple explanatory card: Provider certificate / Industry certification preparation / License preparation / College credit / Other recognized credential. Do not show these as equivalent outcomes.</w:t>
            </w:r>
          </w:p>
        </w:tc>
      </w:tr>
      <w:tr>
        <w:tc>
          <w:tcPr>
            <w:tcW w:type="dxa" w:w="3456"/>
            <w:vAlign w:val="center"/>
            <w:tcMar>
              <w:top w:w="100" w:type="dxa"/>
              <w:start w:w="120" w:type="dxa"/>
              <w:bottom w:w="100" w:type="dxa"/>
              <w:end w:w="120" w:type="dxa"/>
            </w:tcMar>
            <w:shd w:fill="FFFFFF"/>
          </w:tcPr>
          <w:p>
            <w:pPr>
              <w:jc w:val="left"/>
            </w:pPr>
            <w:r/>
            <w:r>
              <w:rPr>
                <w:rFonts w:ascii="Open Sans" w:hAnsi="Open Sans"/>
                <w:b w:val="0"/>
                <w:color w:val="24364B"/>
                <w:sz w:val="18"/>
              </w:rPr>
              <w:t>1:18-1:48</w:t>
            </w:r>
          </w:p>
        </w:tc>
        <w:tc>
          <w:tcPr>
            <w:tcW w:type="dxa" w:w="3456"/>
            <w:vAlign w:val="center"/>
            <w:tcMar>
              <w:top w:w="100" w:type="dxa"/>
              <w:start w:w="120" w:type="dxa"/>
              <w:bottom w:w="100" w:type="dxa"/>
              <w:end w:w="120" w:type="dxa"/>
            </w:tcMar>
            <w:shd w:fill="FFFFFF"/>
          </w:tcPr>
          <w:p>
            <w:pPr>
              <w:jc w:val="left"/>
            </w:pPr>
            <w:r/>
            <w:r>
              <w:rPr>
                <w:rFonts w:ascii="Open Sans" w:hAnsi="Open Sans"/>
                <w:b/>
                <w:color w:val="24364B"/>
                <w:sz w:val="18"/>
              </w:rPr>
              <w:t>FULL VALUE</w:t>
            </w:r>
          </w:p>
        </w:tc>
        <w:tc>
          <w:tcPr>
            <w:tcW w:type="dxa" w:w="3456"/>
            <w:vAlign w:val="center"/>
            <w:tcMar>
              <w:top w:w="100" w:type="dxa"/>
              <w:start w:w="120" w:type="dxa"/>
              <w:bottom w:w="100" w:type="dxa"/>
              <w:end w:w="120" w:type="dxa"/>
            </w:tcMar>
            <w:shd w:fill="FFFFFF"/>
          </w:tcPr>
          <w:p>
            <w:pPr>
              <w:jc w:val="left"/>
            </w:pPr>
            <w:r/>
            <w:r>
              <w:rPr>
                <w:rFonts w:ascii="Open Sans" w:hAnsi="Open Sans"/>
                <w:b w:val="0"/>
                <w:color w:val="24364B"/>
                <w:sz w:val="18"/>
              </w:rPr>
              <w:t>Training setting plus explanatory text: TIME + TOTAL COST + HANDS-ON LEARNING + EMPLOYER CONNECTION + WHAT COMES NEXT. Use a complete sentence under each if space allows.</w:t>
            </w:r>
          </w:p>
        </w:tc>
      </w:tr>
      <w:tr>
        <w:tc>
          <w:tcPr>
            <w:tcW w:type="dxa" w:w="3456"/>
            <w:vAlign w:val="center"/>
            <w:tcMar>
              <w:top w:w="100" w:type="dxa"/>
              <w:start w:w="120" w:type="dxa"/>
              <w:bottom w:w="100" w:type="dxa"/>
              <w:end w:w="120" w:type="dxa"/>
            </w:tcMar>
            <w:shd w:fill="FFFFFF"/>
          </w:tcPr>
          <w:p>
            <w:pPr>
              <w:jc w:val="left"/>
            </w:pPr>
            <w:r/>
            <w:r>
              <w:rPr>
                <w:rFonts w:ascii="Open Sans" w:hAnsi="Open Sans"/>
                <w:b w:val="0"/>
                <w:color w:val="24364B"/>
                <w:sz w:val="18"/>
              </w:rPr>
              <w:t>1:48-2:08</w:t>
            </w:r>
          </w:p>
        </w:tc>
        <w:tc>
          <w:tcPr>
            <w:tcW w:type="dxa" w:w="3456"/>
            <w:vAlign w:val="center"/>
            <w:tcMar>
              <w:top w:w="100" w:type="dxa"/>
              <w:start w:w="120" w:type="dxa"/>
              <w:bottom w:w="100" w:type="dxa"/>
              <w:end w:w="120" w:type="dxa"/>
            </w:tcMar>
            <w:shd w:fill="FFFFFF"/>
          </w:tcPr>
          <w:p>
            <w:pPr>
              <w:jc w:val="left"/>
            </w:pPr>
            <w:r/>
            <w:r>
              <w:rPr>
                <w:rFonts w:ascii="Open Sans" w:hAnsi="Open Sans"/>
                <w:b/>
                <w:color w:val="24364B"/>
                <w:sz w:val="18"/>
              </w:rPr>
              <w:t>VERIFY</w:t>
            </w:r>
          </w:p>
        </w:tc>
        <w:tc>
          <w:tcPr>
            <w:tcW w:type="dxa" w:w="3456"/>
            <w:vAlign w:val="center"/>
            <w:tcMar>
              <w:top w:w="100" w:type="dxa"/>
              <w:start w:w="120" w:type="dxa"/>
              <w:bottom w:w="100" w:type="dxa"/>
              <w:end w:w="120" w:type="dxa"/>
            </w:tcMar>
            <w:shd w:fill="FFFFFF"/>
          </w:tcPr>
          <w:p>
            <w:pPr>
              <w:jc w:val="left"/>
            </w:pPr>
            <w:r/>
            <w:r>
              <w:rPr>
                <w:rFonts w:ascii="Open Sans" w:hAnsi="Open Sans"/>
                <w:b w:val="0"/>
                <w:color w:val="24364B"/>
                <w:sz w:val="18"/>
              </w:rPr>
              <w:t>Student/counselor reviewing official program information. Delaware JobLink as a resource concept; do not fabricate a website screenshot.</w:t>
            </w:r>
          </w:p>
        </w:tc>
      </w:tr>
      <w:tr>
        <w:tc>
          <w:tcPr>
            <w:tcW w:type="dxa" w:w="3456"/>
            <w:vAlign w:val="center"/>
            <w:tcMar>
              <w:top w:w="100" w:type="dxa"/>
              <w:start w:w="120" w:type="dxa"/>
              <w:bottom w:w="100" w:type="dxa"/>
              <w:end w:w="120" w:type="dxa"/>
            </w:tcMar>
            <w:shd w:fill="FFFFFF"/>
          </w:tcPr>
          <w:p>
            <w:pPr>
              <w:jc w:val="left"/>
            </w:pPr>
            <w:r/>
            <w:r>
              <w:rPr>
                <w:rFonts w:ascii="Open Sans" w:hAnsi="Open Sans"/>
                <w:b w:val="0"/>
                <w:color w:val="24364B"/>
                <w:sz w:val="18"/>
              </w:rPr>
              <w:t>2:08-2:32</w:t>
            </w:r>
          </w:p>
        </w:tc>
        <w:tc>
          <w:tcPr>
            <w:tcW w:type="dxa" w:w="3456"/>
            <w:vAlign w:val="center"/>
            <w:tcMar>
              <w:top w:w="100" w:type="dxa"/>
              <w:start w:w="120" w:type="dxa"/>
              <w:bottom w:w="100" w:type="dxa"/>
              <w:end w:w="120" w:type="dxa"/>
            </w:tcMar>
            <w:shd w:fill="FFFFFF"/>
          </w:tcPr>
          <w:p>
            <w:pPr>
              <w:jc w:val="left"/>
            </w:pPr>
            <w:r/>
            <w:r>
              <w:rPr>
                <w:rFonts w:ascii="Open Sans" w:hAnsi="Open Sans"/>
                <w:b/>
                <w:color w:val="24364B"/>
                <w:sz w:val="18"/>
              </w:rPr>
              <w:t>COUNSELOR ROLE</w:t>
            </w:r>
          </w:p>
        </w:tc>
        <w:tc>
          <w:tcPr>
            <w:tcW w:type="dxa" w:w="3456"/>
            <w:vAlign w:val="center"/>
            <w:tcMar>
              <w:top w:w="100" w:type="dxa"/>
              <w:start w:w="120" w:type="dxa"/>
              <w:bottom w:w="100" w:type="dxa"/>
              <w:end w:w="120" w:type="dxa"/>
            </w:tcMar>
            <w:shd w:fill="FFFFFF"/>
          </w:tcPr>
          <w:p>
            <w:pPr>
              <w:jc w:val="left"/>
            </w:pPr>
            <w:r/>
            <w:r>
              <w:rPr>
                <w:rFonts w:ascii="Open Sans" w:hAnsi="Open Sans"/>
                <w:b w:val="0"/>
                <w:color w:val="24364B"/>
                <w:sz w:val="18"/>
              </w:rPr>
              <w:t>Text card: CONNECT THE GOAL -&gt; CLARIFY THE OUTCOME -&gt; COMPARE THE INVESTMENT -&gt; IDENTIFY THE NEXT OPPORTUNITY.</w:t>
            </w:r>
          </w:p>
        </w:tc>
      </w:tr>
      <w:tr>
        <w:tc>
          <w:tcPr>
            <w:tcW w:type="dxa" w:w="3456"/>
            <w:vAlign w:val="center"/>
            <w:tcMar>
              <w:top w:w="100" w:type="dxa"/>
              <w:start w:w="120" w:type="dxa"/>
              <w:bottom w:w="100" w:type="dxa"/>
              <w:end w:w="120" w:type="dxa"/>
            </w:tcMar>
            <w:shd w:fill="FFFFFF"/>
          </w:tcPr>
          <w:p>
            <w:pPr>
              <w:jc w:val="left"/>
            </w:pPr>
            <w:r/>
            <w:r>
              <w:rPr>
                <w:rFonts w:ascii="Open Sans" w:hAnsi="Open Sans"/>
                <w:b w:val="0"/>
                <w:color w:val="24364B"/>
                <w:sz w:val="18"/>
              </w:rPr>
              <w:t>2:32-2:44</w:t>
            </w:r>
          </w:p>
        </w:tc>
        <w:tc>
          <w:tcPr>
            <w:tcW w:type="dxa" w:w="3456"/>
            <w:vAlign w:val="center"/>
            <w:tcMar>
              <w:top w:w="100" w:type="dxa"/>
              <w:start w:w="120" w:type="dxa"/>
              <w:bottom w:w="100" w:type="dxa"/>
              <w:end w:w="120" w:type="dxa"/>
            </w:tcMar>
            <w:shd w:fill="FFFFFF"/>
          </w:tcPr>
          <w:p>
            <w:pPr>
              <w:jc w:val="left"/>
            </w:pPr>
            <w:r/>
            <w:r>
              <w:rPr>
                <w:rFonts w:ascii="Open Sans" w:hAnsi="Open Sans"/>
                <w:b/>
                <w:color w:val="24364B"/>
                <w:sz w:val="18"/>
              </w:rPr>
              <w:t>YOUR NEXT MOVE</w:t>
            </w:r>
          </w:p>
        </w:tc>
        <w:tc>
          <w:tcPr>
            <w:tcW w:type="dxa" w:w="3456"/>
            <w:vAlign w:val="center"/>
            <w:tcMar>
              <w:top w:w="100" w:type="dxa"/>
              <w:start w:w="120" w:type="dxa"/>
              <w:bottom w:w="100" w:type="dxa"/>
              <w:end w:w="120" w:type="dxa"/>
            </w:tcMar>
            <w:shd w:fill="FFFFFF"/>
          </w:tcPr>
          <w:p>
            <w:pPr>
              <w:jc w:val="left"/>
            </w:pPr>
            <w:r/>
            <w:r>
              <w:rPr>
                <w:rFonts w:ascii="Open Sans" w:hAnsi="Open Sans"/>
                <w:b w:val="0"/>
                <w:color w:val="24364B"/>
                <w:sz w:val="18"/>
              </w:rPr>
              <w:t>Four complete questions from the narration, shown clearly.</w:t>
            </w:r>
          </w:p>
        </w:tc>
      </w:tr>
      <w:tr>
        <w:tc>
          <w:tcPr>
            <w:tcW w:type="dxa" w:w="3456"/>
            <w:vAlign w:val="center"/>
            <w:tcMar>
              <w:top w:w="100" w:type="dxa"/>
              <w:start w:w="120" w:type="dxa"/>
              <w:bottom w:w="100" w:type="dxa"/>
              <w:end w:w="120" w:type="dxa"/>
            </w:tcMar>
            <w:shd w:fill="FFFFFF"/>
          </w:tcPr>
          <w:p>
            <w:pPr>
              <w:jc w:val="left"/>
            </w:pPr>
            <w:r/>
            <w:r>
              <w:rPr>
                <w:rFonts w:ascii="Open Sans" w:hAnsi="Open Sans"/>
                <w:b w:val="0"/>
                <w:color w:val="24364B"/>
                <w:sz w:val="18"/>
              </w:rPr>
              <w:t>2:44-2:50</w:t>
            </w:r>
          </w:p>
        </w:tc>
        <w:tc>
          <w:tcPr>
            <w:tcW w:type="dxa" w:w="3456"/>
            <w:vAlign w:val="center"/>
            <w:tcMar>
              <w:top w:w="100" w:type="dxa"/>
              <w:start w:w="120" w:type="dxa"/>
              <w:bottom w:w="100" w:type="dxa"/>
              <w:end w:w="120" w:type="dxa"/>
            </w:tcMar>
            <w:shd w:fill="FFFFFF"/>
          </w:tcPr>
          <w:p>
            <w:pPr>
              <w:jc w:val="left"/>
            </w:pPr>
            <w:r/>
            <w:r>
              <w:rPr>
                <w:rFonts w:ascii="Open Sans" w:hAnsi="Open Sans"/>
                <w:b/>
                <w:color w:val="24364B"/>
                <w:sz w:val="18"/>
              </w:rPr>
              <w:t>KEEP EXPLORING / SIGN-OFF</w:t>
            </w:r>
          </w:p>
        </w:tc>
        <w:tc>
          <w:tcPr>
            <w:tcW w:type="dxa" w:w="3456"/>
            <w:vAlign w:val="center"/>
            <w:tcMar>
              <w:top w:w="100" w:type="dxa"/>
              <w:start w:w="120" w:type="dxa"/>
              <w:bottom w:w="100" w:type="dxa"/>
              <w:end w:w="120" w:type="dxa"/>
            </w:tcMar>
            <w:shd w:fill="FFFFFF"/>
          </w:tcPr>
          <w:p>
            <w:pPr>
              <w:jc w:val="left"/>
            </w:pPr>
            <w:r/>
            <w:r>
              <w:rPr>
                <w:rFonts w:ascii="Open Sans" w:hAnsi="Open Sans"/>
                <w:b w:val="0"/>
                <w:color w:val="24364B"/>
                <w:sz w:val="18"/>
              </w:rPr>
              <w:t>Delaware JobLink | Training provider official information. Then Launch logo + EVERY STUDENT. A NEXT STEP. A WAY FORWARD.</w:t>
            </w:r>
          </w:p>
        </w:tc>
      </w:tr>
    </w:tbl>
    <w:p>
      <w:pPr>
        <w:spacing w:before="200" w:after="100"/>
      </w:pPr>
      <w:r>
        <w:rPr>
          <w:rFonts w:ascii="Open Sans" w:hAnsi="Open Sans"/>
          <w:b/>
          <w:color w:val="00B0B9"/>
          <w:sz w:val="28"/>
        </w:rPr>
        <w:t>Visual standard learned from the completed series</w:t>
      </w:r>
    </w:p>
    <w:p>
      <w:pPr>
        <w:pStyle w:val="ListBullet"/>
        <w:spacing w:after="60"/>
      </w:pPr>
      <w:r>
        <w:rPr>
          <w:rFonts w:ascii="Open Sans" w:hAnsi="Open Sans"/>
          <w:color w:val="24364B"/>
          <w:sz w:val="20"/>
        </w:rPr>
        <w:t>Copilot visuals are placeholders. Use standard Microsoft stock media, plain text, and basic text cards so the project remains editable in Clipchamp.</w:t>
      </w:r>
    </w:p>
    <w:p>
      <w:pPr>
        <w:pStyle w:val="ListBullet"/>
        <w:spacing w:after="60"/>
      </w:pPr>
      <w:r>
        <w:rPr>
          <w:rFonts w:ascii="Open Sans" w:hAnsi="Open Sans"/>
          <w:color w:val="24364B"/>
          <w:sz w:val="20"/>
        </w:rPr>
        <w:t>If a visual is not clearly relevant, use a clean text card instead. Do not force a generic laptop, handshake, poster-wall, or stacked-book image.</w:t>
      </w:r>
    </w:p>
    <w:p>
      <w:pPr>
        <w:pStyle w:val="ListBullet"/>
        <w:spacing w:after="60"/>
      </w:pPr>
      <w:r>
        <w:rPr>
          <w:rFonts w:ascii="Open Sans" w:hAnsi="Open Sans"/>
          <w:color w:val="24364B"/>
          <w:sz w:val="20"/>
        </w:rPr>
        <w:t>Use human images when a person-to-person advising or training moment matters; use explanatory cards for abstract comparisons.</w:t>
      </w:r>
    </w:p>
    <w:p>
      <w:pPr>
        <w:pStyle w:val="ListBullet"/>
        <w:spacing w:after="60"/>
      </w:pPr>
      <w:r>
        <w:rPr>
          <w:rFonts w:ascii="Open Sans" w:hAnsi="Open Sans"/>
          <w:color w:val="24364B"/>
          <w:sz w:val="20"/>
        </w:rPr>
        <w:t>For people: use native horizontal 16:9 medium or medium-wide footage. Entire head visible with natural headroom. Replace tightly framed footage instead of zooming.</w:t>
      </w:r>
    </w:p>
    <w:p>
      <w:pPr>
        <w:pStyle w:val="ListBullet"/>
        <w:spacing w:after="60"/>
      </w:pPr>
      <w:r>
        <w:rPr>
          <w:rFonts w:ascii="Open Sans" w:hAnsi="Open Sans"/>
          <w:color w:val="24364B"/>
          <w:sz w:val="20"/>
        </w:rPr>
        <w:t>On-screen text must explain the idea, not merely name it. Avoid isolated one-word lists.</w:t>
      </w:r>
    </w:p>
    <w:p>
      <w:pPr>
        <w:pStyle w:val="ListBullet"/>
        <w:spacing w:after="60"/>
      </w:pPr>
      <w:r>
        <w:rPr>
          <w:rFonts w:ascii="Open Sans" w:hAnsi="Open Sans"/>
          <w:color w:val="24364B"/>
          <w:sz w:val="20"/>
        </w:rPr>
        <w:t>Custom AI stills can be added later in Clipchamp when a precise concept needs a stronger visual.</w:t>
      </w:r>
    </w:p>
    <w:p>
      <w:r>
        <w:br w:type="page"/>
      </w:r>
    </w:p>
    <w:p>
      <w:pPr>
        <w:spacing w:before="200" w:after="100"/>
      </w:pPr>
      <w:r>
        <w:rPr>
          <w:rFonts w:ascii="Open Sans" w:hAnsi="Open Sans"/>
          <w:b/>
          <w:color w:val="1D4289"/>
          <w:sz w:val="36"/>
        </w:rPr>
        <w:t>Resource anchors and production notes</w:t>
      </w:r>
    </w:p>
    <w:p>
      <w:pPr>
        <w:spacing w:after="120" w:line="259" w:lineRule="auto"/>
      </w:pPr>
      <w:r>
        <w:rPr>
          <w:rFonts w:ascii="Open Sans" w:hAnsi="Open Sans"/>
          <w:color w:val="24364B"/>
          <w:sz w:val="21"/>
        </w:rPr>
        <w:t>Use these sources as current navigation anchors. Program-specific facts can change and should be verified at the time a student is making a decision.</w:t>
      </w:r>
    </w:p>
    <w:p>
      <w:pPr>
        <w:pStyle w:val="ListBullet"/>
        <w:spacing w:after="60"/>
      </w:pPr>
      <w:r>
        <w:rPr>
          <w:rFonts w:ascii="Open Sans" w:hAnsi="Open Sans"/>
          <w:color w:val="24364B"/>
          <w:sz w:val="20"/>
        </w:rPr>
        <w:t>Delaware JobLink — Training Program Search: https://joblink.delaware.gov/search/programs</w:t>
      </w:r>
    </w:p>
    <w:p>
      <w:pPr>
        <w:pStyle w:val="ListBullet"/>
        <w:spacing w:after="60"/>
      </w:pPr>
      <w:r>
        <w:rPr>
          <w:rFonts w:ascii="Open Sans" w:hAnsi="Open Sans"/>
          <w:color w:val="24364B"/>
          <w:sz w:val="20"/>
        </w:rPr>
        <w:t>Delaware JobLink — Training Provider Search: https://joblink.delaware.gov/search/providers</w:t>
      </w:r>
    </w:p>
    <w:p>
      <w:pPr>
        <w:pStyle w:val="ListBullet"/>
        <w:spacing w:after="60"/>
      </w:pPr>
      <w:r>
        <w:rPr>
          <w:rFonts w:ascii="Open Sans" w:hAnsi="Open Sans"/>
          <w:color w:val="24364B"/>
          <w:sz w:val="20"/>
        </w:rPr>
        <w:t>Delaware JobLink currently supports searches across training providers/programs and displays fields such as credential type, program length, cost, and WIOA-provider status for listed programs/providers.</w:t>
      </w:r>
    </w:p>
    <w:p>
      <w:pPr>
        <w:pStyle w:val="ListBullet"/>
        <w:spacing w:after="60"/>
      </w:pPr>
      <w:r>
        <w:rPr>
          <w:rFonts w:ascii="Open Sans" w:hAnsi="Open Sans"/>
          <w:color w:val="24364B"/>
          <w:sz w:val="20"/>
        </w:rPr>
        <w:t>Launch resource framework identifies short-term credentials as including non-credit workforce programs, industry bootcamps, healthcare certifications, IT certifications, manufacturing certifications, construction certifications, and logistics/transportation certifications.</w:t>
      </w:r>
    </w:p>
    <w:p>
      <w:pPr>
        <w:spacing w:before="200" w:after="100"/>
      </w:pPr>
      <w:r>
        <w:rPr>
          <w:rFonts w:ascii="Open Sans" w:hAnsi="Open Sans"/>
          <w:b/>
          <w:color w:val="FF6720"/>
          <w:sz w:val="28"/>
        </w:rPr>
        <w:t>Important source-status note</w:t>
      </w:r>
    </w:p>
    <w:p>
      <w:pPr>
        <w:spacing w:after="120" w:line="259" w:lineRule="auto"/>
      </w:pPr>
      <w:r>
        <w:rPr>
          <w:rFonts w:ascii="Open Sans" w:hAnsi="Open Sans"/>
          <w:color w:val="24364B"/>
          <w:sz w:val="21"/>
        </w:rPr>
        <w:t>The existing Launch Short-Term Credentials package is currently held for SME/source approval in the project audit. This production source therefore avoids unresolved program-specific claims and uses current Delaware JobLink only as a navigation/search anchor. Final statewide release should still follow the project’s normal SME and source-approval process.</w:t>
      </w:r>
    </w:p>
    <w:p>
      <w:pPr>
        <w:spacing w:before="200" w:after="100"/>
      </w:pPr>
      <w:r>
        <w:rPr>
          <w:rFonts w:ascii="Open Sans" w:hAnsi="Open Sans"/>
          <w:b/>
          <w:color w:val="00B0B9"/>
          <w:sz w:val="28"/>
        </w:rPr>
        <w:t>Clipchamp reliability</w:t>
      </w:r>
    </w:p>
    <w:p>
      <w:pPr>
        <w:spacing w:after="120" w:line="259" w:lineRule="auto"/>
      </w:pPr>
      <w:r>
        <w:rPr>
          <w:rFonts w:ascii="Open Sans" w:hAnsi="Open Sans"/>
          <w:color w:val="24364B"/>
          <w:sz w:val="21"/>
        </w:rPr>
        <w:t>For the Copilot first cut, use standard Microsoft stock video, standard stock photography, plain text, and basic text cards. Prioritize an editable Clipchamp project over generated visual complexity.</w:t>
      </w:r>
    </w:p>
    <w:p>
      <w:pPr>
        <w:spacing w:before="320"/>
        <w:jc w:val="center"/>
      </w:pPr>
      <w:r>
        <w:rPr>
          <w:rFonts w:ascii="Open Sans" w:hAnsi="Open Sans"/>
          <w:b/>
          <w:color w:val="1D4289"/>
          <w:sz w:val="28"/>
        </w:rPr>
        <w:t>LAUNCH INTO YOUR FUTURE</w:t>
      </w:r>
    </w:p>
    <w:p>
      <w:pPr>
        <w:jc w:val="center"/>
      </w:pPr>
      <w:r>
        <w:rPr>
          <w:rFonts w:ascii="Open Sans" w:hAnsi="Open Sans"/>
          <w:b/>
          <w:color w:val="00B0B9"/>
          <w:sz w:val="22"/>
        </w:rPr>
        <w:t>Every student. A next step. A way forward.</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Open Sans" w:hAnsi="Open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