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240280" cy="1067428"/>
            <wp:docPr id="1" name="Picture 1"/>
            <wp:cNvGraphicFramePr>
              <a:graphicFrameLocks noChangeAspect="1"/>
            </wp:cNvGraphicFramePr>
            <a:graphic>
              <a:graphicData uri="http://schemas.openxmlformats.org/drawingml/2006/picture">
                <pic:pic>
                  <pic:nvPicPr>
                    <pic:cNvPr id="0" name="launch_logo(2).png"/>
                    <pic:cNvPicPr/>
                  </pic:nvPicPr>
                  <pic:blipFill>
                    <a:blip r:embed="rId9"/>
                    <a:stretch>
                      <a:fillRect/>
                    </a:stretch>
                  </pic:blipFill>
                  <pic:spPr>
                    <a:xfrm>
                      <a:off x="0" y="0"/>
                      <a:ext cx="2240280" cy="1067428"/>
                    </a:xfrm>
                    <a:prstGeom prst="rect"/>
                  </pic:spPr>
                </pic:pic>
              </a:graphicData>
            </a:graphic>
          </wp:inline>
        </w:drawing>
      </w:r>
    </w:p>
    <w:p>
      <w:pPr>
        <w:pStyle w:val="Title"/>
        <w:jc w:val="center"/>
      </w:pPr>
      <w:r>
        <w:rPr>
          <w:rFonts w:ascii="Open Sans" w:hAnsi="Open Sans" w:eastAsia="Open Sans"/>
          <w:b w:val="0"/>
        </w:rPr>
        <w:t>REGISTERED APPRENTICESHIPS</w:t>
      </w:r>
    </w:p>
    <w:p>
      <w:pPr>
        <w:jc w:val="center"/>
      </w:pPr>
      <w:r>
        <w:rPr>
          <w:rFonts w:ascii="Open Sans" w:hAnsi="Open Sans" w:eastAsia="Open Sans"/>
          <w:b/>
          <w:color w:val="FF6720"/>
        </w:rPr>
        <w:t>VIDEO 01 • FINAL COPILOT PRODUCTION SOURCE • SERIES MASTER STANDARD</w:t>
      </w:r>
    </w:p>
    <w:p>
      <w:pPr>
        <w:jc w:val="center"/>
      </w:pPr>
      <w:r>
        <w:rPr>
          <w:rFonts w:ascii="Open Sans" w:hAnsi="Open Sans" w:eastAsia="Open Sans"/>
          <w:b w:val="0"/>
        </w:rPr>
        <w:t>Purpose: create the reference-quality statewide counselor microlearning video that establishes the opening, instructional rhythm, visual language, and closing used across the Launch Into Your Future video library.</w:t>
      </w:r>
    </w:p>
    <w:tbl>
      <w:tblPr>
        <w:tblW w:type="auto" w:w="0"/>
        <w:tblLayout w:type="fixed"/>
        <w:tblLook w:firstColumn="1" w:firstRow="1" w:lastColumn="0" w:lastRow="0" w:noHBand="0" w:noVBand="1" w:val="04A0"/>
      </w:tblPr>
      <w:tblGrid>
        <w:gridCol w:w="3408"/>
        <w:gridCol w:w="3408"/>
        <w:gridCol w:w="3408"/>
      </w:tblGrid>
      <w:tr>
        <w:tc>
          <w:tcPr>
            <w:tcW w:type="dxa" w:w="3408"/>
            <w:shd w:fill="F1F7FA"/>
            <w:vAlign w:val="center"/>
          </w:tcPr>
          <w:p>
            <w:pPr>
              <w:jc w:val="center"/>
            </w:pPr>
            <w:r>
              <w:rPr>
                <w:rFonts w:ascii="Open Sans" w:hAnsi="Open Sans"/>
                <w:b/>
                <w:color w:val="1D4289"/>
              </w:rPr>
              <w:t>FORMAT</w:t>
              <w:br/>
            </w:r>
            <w:r>
              <w:rPr>
                <w:rFonts w:ascii="Open Sans" w:hAnsi="Open Sans"/>
              </w:rPr>
              <w:t>16:9 landscape</w:t>
            </w:r>
          </w:p>
        </w:tc>
        <w:tc>
          <w:tcPr>
            <w:tcW w:type="dxa" w:w="3408"/>
            <w:shd w:fill="F1F7FA"/>
            <w:vAlign w:val="center"/>
          </w:tcPr>
          <w:p>
            <w:pPr>
              <w:jc w:val="center"/>
            </w:pPr>
            <w:r>
              <w:rPr>
                <w:rFonts w:ascii="Open Sans" w:hAnsi="Open Sans"/>
                <w:b/>
                <w:color w:val="1D4289"/>
              </w:rPr>
              <w:t>RUNTIME</w:t>
              <w:br/>
            </w:r>
            <w:r>
              <w:rPr>
                <w:rFonts w:ascii="Open Sans" w:hAnsi="Open Sans"/>
              </w:rPr>
              <w:t>2:35–2:50</w:t>
            </w:r>
          </w:p>
        </w:tc>
        <w:tc>
          <w:tcPr>
            <w:tcW w:type="dxa" w:w="3408"/>
            <w:shd w:fill="F1F7FA"/>
            <w:vAlign w:val="center"/>
          </w:tcPr>
          <w:p>
            <w:pPr>
              <w:jc w:val="center"/>
            </w:pPr>
            <w:r>
              <w:rPr>
                <w:rFonts w:ascii="Open Sans" w:hAnsi="Open Sans"/>
                <w:b/>
                <w:color w:val="1D4289"/>
              </w:rPr>
              <w:t>VOICE</w:t>
              <w:br/>
            </w:r>
            <w:r>
              <w:rPr>
                <w:rFonts w:ascii="Open Sans" w:hAnsi="Open Sans"/>
              </w:rPr>
              <w:t>Natural U.S. American</w:t>
            </w:r>
          </w:p>
        </w:tc>
      </w:tr>
      <w:tr>
        <w:tc>
          <w:tcPr>
            <w:tcW w:type="dxa" w:w="3408"/>
            <w:shd w:fill="F1F7FA"/>
            <w:vAlign w:val="center"/>
          </w:tcPr>
          <w:p>
            <w:pPr>
              <w:jc w:val="center"/>
            </w:pPr>
            <w:r>
              <w:rPr>
                <w:rFonts w:ascii="Open Sans" w:hAnsi="Open Sans"/>
                <w:b/>
                <w:color w:val="1D4289"/>
              </w:rPr>
              <w:t>AUDIENCE</w:t>
              <w:br/>
            </w:r>
            <w:r>
              <w:rPr>
                <w:rFonts w:ascii="Open Sans" w:hAnsi="Open Sans"/>
              </w:rPr>
              <w:t>Delaware HS counselors</w:t>
            </w:r>
          </w:p>
        </w:tc>
        <w:tc>
          <w:tcPr>
            <w:tcW w:type="dxa" w:w="3408"/>
            <w:shd w:fill="F1F7FA"/>
            <w:vAlign w:val="center"/>
          </w:tcPr>
          <w:p>
            <w:pPr>
              <w:jc w:val="center"/>
            </w:pPr>
            <w:r>
              <w:rPr>
                <w:rFonts w:ascii="Open Sans" w:hAnsi="Open Sans"/>
                <w:b/>
                <w:color w:val="1D4289"/>
              </w:rPr>
              <w:t>STYLE</w:t>
              <w:br/>
            </w:r>
            <w:r>
              <w:rPr>
                <w:rFonts w:ascii="Open Sans" w:hAnsi="Open Sans"/>
              </w:rPr>
              <w:t>Professional microlearning</w:t>
            </w:r>
          </w:p>
        </w:tc>
        <w:tc>
          <w:tcPr>
            <w:tcW w:type="dxa" w:w="3408"/>
            <w:shd w:fill="F1F7FA"/>
            <w:vAlign w:val="center"/>
          </w:tcPr>
          <w:p>
            <w:pPr>
              <w:jc w:val="center"/>
            </w:pPr>
            <w:r>
              <w:rPr>
                <w:rFonts w:ascii="Open Sans" w:hAnsi="Open Sans"/>
                <w:b/>
                <w:color w:val="1D4289"/>
              </w:rPr>
              <w:t>STANDARD</w:t>
              <w:br/>
            </w:r>
            <w:r>
              <w:rPr>
                <w:rFonts w:ascii="Open Sans" w:hAnsi="Open Sans"/>
              </w:rPr>
              <w:t>Release-ready / no defects</w:t>
            </w:r>
          </w:p>
        </w:tc>
      </w:tr>
    </w:tbl>
    <w:p>
      <w:pPr>
        <w:pStyle w:val="Heading1"/>
      </w:pPr>
      <w:r>
        <w:rPr>
          <w:rFonts w:ascii="Open Sans" w:hAnsi="Open Sans" w:eastAsia="Open Sans"/>
          <w:b w:val="0"/>
        </w:rPr>
        <w:t>1. LOCKED LAUNCH / DSS BRAND SYSTEM</w:t>
      </w:r>
    </w:p>
    <w:p>
      <w:r>
        <w:rPr>
          <w:rFonts w:ascii="Open Sans" w:hAnsi="Open Sans" w:eastAsia="Open Sans"/>
          <w:b w:val="0"/>
        </w:rPr>
        <w:t>Use the embedded Launch Into Your Future logo as the identity reference. Do not redraw, regenerate, recolor, distort, or approximate it. The visual system must feel built from the Launch identity—not like a generic template with a logo added afterward.</w:t>
      </w:r>
    </w:p>
    <w:p>
      <w:r>
        <w:rPr>
          <w:rFonts w:ascii="Open Sans" w:hAnsi="Open Sans" w:eastAsia="Open Sans"/>
          <w:b w:val="0"/>
        </w:rPr>
        <w:t>• #1D4289 — primary dark blue / major backgrounds</w:t>
      </w:r>
    </w:p>
    <w:p>
      <w:r>
        <w:rPr>
          <w:rFonts w:ascii="Open Sans" w:hAnsi="Open Sans" w:eastAsia="Open Sans"/>
          <w:b w:val="0"/>
        </w:rPr>
        <w:t>• #00B0B9 — teal / primary accent</w:t>
      </w:r>
    </w:p>
    <w:p>
      <w:r>
        <w:rPr>
          <w:rFonts w:ascii="Open Sans" w:hAnsi="Open Sans" w:eastAsia="Open Sans"/>
          <w:b w:val="0"/>
        </w:rPr>
        <w:t>• #FF6720 — orange / emphasis and calls to action</w:t>
      </w:r>
    </w:p>
    <w:p>
      <w:r>
        <w:rPr>
          <w:rFonts w:ascii="Open Sans" w:hAnsi="Open Sans" w:eastAsia="Open Sans"/>
          <w:b w:val="0"/>
        </w:rPr>
        <w:t>• #009F4D — green / selective secondary accent</w:t>
      </w:r>
    </w:p>
    <w:p>
      <w:r>
        <w:rPr>
          <w:rFonts w:ascii="Open Sans" w:hAnsi="Open Sans" w:eastAsia="Open Sans"/>
          <w:b w:val="0"/>
        </w:rPr>
        <w:t>• #FFB81C — gold / selective secondary accent</w:t>
      </w:r>
    </w:p>
    <w:p>
      <w:r>
        <w:rPr>
          <w:rFonts w:ascii="Open Sans" w:hAnsi="Open Sans" w:eastAsia="Open Sans"/>
          <w:b w:val="0"/>
        </w:rPr>
        <w:t>• Open Sans family — all typography</w:t>
      </w:r>
    </w:p>
    <w:p>
      <w:r>
        <w:rPr>
          <w:rFonts w:ascii="Open Sans" w:hAnsi="Open Sans" w:eastAsia="Open Sans"/>
          <w:b/>
          <w:color w:val="FF6720"/>
        </w:rPr>
        <w:t>NO PURPLE. No violet, magenta, default corporate gradients, neon palettes, or other dominant colors outside the approved system.</w:t>
      </w:r>
    </w:p>
    <w:p>
      <w:pPr>
        <w:pStyle w:val="Heading1"/>
      </w:pPr>
      <w:r>
        <w:rPr>
          <w:rFonts w:ascii="Open Sans" w:hAnsi="Open Sans" w:eastAsia="Open Sans"/>
          <w:b w:val="0"/>
        </w:rPr>
        <w:t>2. STANDARDIZED SERIES OPENING — 6 TO 8 SECONDS</w:t>
      </w:r>
    </w:p>
    <w:p>
      <w:r>
        <w:rPr>
          <w:rFonts w:ascii="Open Sans" w:hAnsi="Open Sans" w:eastAsia="Open Sans"/>
          <w:b w:val="0"/>
        </w:rPr>
        <w:t>This video must NOT begin cold with content. Establish the series and topic immediately.</w:t>
      </w:r>
    </w:p>
    <w:p>
      <w:r>
        <w:rPr>
          <w:rFonts w:ascii="Open Sans" w:hAnsi="Open Sans" w:eastAsia="Open Sans"/>
          <w:b/>
        </w:rPr>
        <w:t>VISUAL: Begin with the supplied Launch Into Your Future logo on a clean Launch-blue field with restrained teal/orange motion. Resolve into the title card:</w:t>
      </w:r>
    </w:p>
    <w:p>
      <w:pPr>
        <w:jc w:val="center"/>
      </w:pPr>
      <w:r>
        <w:rPr>
          <w:rFonts w:ascii="Open Sans" w:hAnsi="Open Sans" w:eastAsia="Open Sans"/>
          <w:b/>
          <w:color w:val="1D4289"/>
        </w:rPr>
        <w:t>LAUNCH INTO YOUR FUTURE</w:t>
        <w:br/>
        <w:t>COUNSELOR QUICK GUIDE</w:t>
        <w:br/>
        <w:t>REGISTERED APPRENTICESHIPS</w:t>
        <w:br/>
        <w:t>What counselors need to know</w:t>
      </w:r>
    </w:p>
    <w:p>
      <w:r>
        <w:rPr>
          <w:rFonts w:ascii="Open Sans" w:hAnsi="Open Sans" w:eastAsia="Open Sans"/>
          <w:b/>
        </w:rPr>
        <w:t>OPENING NARRATION: “Registered Apprenticeships can offer students something powerful: a paycheck, structured training, and a path toward a career. Here’s what counselors need to know.”</w:t>
      </w:r>
    </w:p>
    <w:p>
      <w:r>
        <w:rPr>
          <w:rFonts w:ascii="Open Sans" w:hAnsi="Open Sans" w:eastAsia="Open Sans"/>
          <w:b w:val="0"/>
        </w:rPr>
        <w:t>Do not place stock footage behind the title. The opening should function as a recognizable series signature that can be repeated across every topic.</w:t>
      </w:r>
    </w:p>
    <w:p>
      <w:pPr>
        <w:pStyle w:val="Heading1"/>
      </w:pPr>
      <w:r>
        <w:rPr>
          <w:rFonts w:ascii="Open Sans" w:hAnsi="Open Sans" w:eastAsia="Open Sans"/>
          <w:b w:val="0"/>
        </w:rPr>
        <w:t>3. FINAL APPROVED NARRATION</w:t>
      </w:r>
    </w:p>
    <w:p>
      <w:pPr>
        <w:pStyle w:val="Heading2"/>
      </w:pPr>
      <w:r>
        <w:rPr>
          <w:rFonts w:ascii="Open Sans" w:hAnsi="Open Sans" w:eastAsia="Open Sans"/>
          <w:b w:val="0"/>
        </w:rPr>
        <w:t>WHAT IT IS</w:t>
      </w:r>
    </w:p>
    <w:p>
      <w:r>
        <w:rPr>
          <w:rFonts w:ascii="Open Sans" w:hAnsi="Open Sans" w:eastAsia="Open Sans"/>
          <w:b w:val="0"/>
        </w:rPr>
        <w:t>A Registered Apprenticeship combines paid employment, structured on-the-job learning, and related instruction. The apprentice is an employee developing occupational skills through a formal training model—not simply observing a workplace.</w:t>
      </w:r>
    </w:p>
    <w:p>
      <w:pPr>
        <w:pStyle w:val="Heading2"/>
      </w:pPr>
      <w:r>
        <w:rPr>
          <w:rFonts w:ascii="Open Sans" w:hAnsi="Open Sans" w:eastAsia="Open Sans"/>
          <w:b w:val="0"/>
        </w:rPr>
        <w:t>WHY IT MATTERS</w:t>
      </w:r>
    </w:p>
    <w:p>
      <w:r>
        <w:rPr>
          <w:rFonts w:ascii="Open Sans" w:hAnsi="Open Sans" w:eastAsia="Open Sans"/>
          <w:b w:val="0"/>
        </w:rPr>
        <w:t>For some students, apprenticeship creates a direct connection between learning and a career. Opportunities can exist across skilled trades and other occupations, but available programs change over time. Counselors do not need to memorize every opening. They need to know how to help students find and evaluate current opportunities.</w:t>
      </w:r>
    </w:p>
    <w:p>
      <w:pPr>
        <w:pStyle w:val="Heading2"/>
      </w:pPr>
      <w:r>
        <w:rPr>
          <w:rFonts w:ascii="Open Sans" w:hAnsi="Open Sans" w:eastAsia="Open Sans"/>
          <w:b w:val="0"/>
        </w:rPr>
        <w:t>HOW TO ADVISE</w:t>
      </w:r>
    </w:p>
    <w:p>
      <w:r>
        <w:rPr>
          <w:rFonts w:ascii="Open Sans" w:hAnsi="Open Sans" w:eastAsia="Open Sans"/>
          <w:b w:val="0"/>
        </w:rPr>
        <w:t>Start with the student’s career goal. What kind of work interests them? Use an official source to search current Registered Apprenticeship opportunities. Then review the actual employer or program requirements with the student. Qualifications, application steps, hiring timelines, wages, schedules, and other details can vary—so verify rather than assume.</w:t>
      </w:r>
    </w:p>
    <w:p>
      <w:pPr>
        <w:pStyle w:val="Heading2"/>
      </w:pPr>
      <w:r>
        <w:rPr>
          <w:rFonts w:ascii="Open Sans" w:hAnsi="Open Sans" w:eastAsia="Open Sans"/>
          <w:b w:val="0"/>
        </w:rPr>
        <w:t>IF THERE IS NO OPENING</w:t>
      </w:r>
    </w:p>
    <w:p>
      <w:r>
        <w:rPr>
          <w:rFonts w:ascii="Open Sans" w:hAnsi="Open Sans" w:eastAsia="Open Sans"/>
          <w:b w:val="0"/>
        </w:rPr>
        <w:t>If there is no suitable opening today, the conversation should not end. Help the student build relevant skills, prepare application materials, explore related training, and set a date to search again.</w:t>
      </w:r>
    </w:p>
    <w:p>
      <w:pPr>
        <w:pStyle w:val="Heading2"/>
      </w:pPr>
      <w:r>
        <w:rPr>
          <w:rFonts w:ascii="Open Sans" w:hAnsi="Open Sans" w:eastAsia="Open Sans"/>
          <w:b w:val="0"/>
        </w:rPr>
        <w:t>COUNSELOR ROLE</w:t>
      </w:r>
    </w:p>
    <w:p>
      <w:r>
        <w:rPr>
          <w:rFonts w:ascii="Open Sans" w:hAnsi="Open Sans" w:eastAsia="Open Sans"/>
          <w:b w:val="0"/>
        </w:rPr>
        <w:t>Counselors do not need to become apprenticeship recruiters or experts in every occupation. Your role is to explain the pathway, ask better questions, use official information, and help the student make an informed next move.</w:t>
      </w:r>
    </w:p>
    <w:p>
      <w:pPr>
        <w:pStyle w:val="Heading1"/>
      </w:pPr>
      <w:r>
        <w:rPr>
          <w:rFonts w:ascii="Open Sans" w:hAnsi="Open Sans" w:eastAsia="Open Sans"/>
          <w:b w:val="0"/>
        </w:rPr>
        <w:t>4. DIRECTED VISUAL PLAN</w:t>
      </w:r>
    </w:p>
    <w:tbl>
      <w:tblPr>
        <w:tblStyle w:val="TableGrid"/>
        <w:tblW w:type="auto" w:w="0"/>
        <w:tblLook w:firstColumn="1" w:firstRow="1" w:lastColumn="0" w:lastRow="0" w:noHBand="0" w:noVBand="1" w:val="04A0"/>
      </w:tblPr>
      <w:tblGrid>
        <w:gridCol w:w="3408"/>
        <w:gridCol w:w="3408"/>
        <w:gridCol w:w="3408"/>
      </w:tblGrid>
      <w:tr>
        <w:tc>
          <w:tcPr>
            <w:tcW w:type="dxa" w:w="3408"/>
            <w:shd w:fill="1D4289"/>
          </w:tcPr>
          <w:p>
            <w:r>
              <w:rPr>
                <w:rFonts w:ascii="Open Sans" w:hAnsi="Open Sans"/>
                <w:b/>
                <w:color w:val="FFFFFF"/>
              </w:rPr>
              <w:t>BEAT</w:t>
            </w:r>
          </w:p>
        </w:tc>
        <w:tc>
          <w:tcPr>
            <w:tcW w:type="dxa" w:w="3408"/>
            <w:shd w:fill="1D4289"/>
          </w:tcPr>
          <w:p>
            <w:r>
              <w:rPr>
                <w:rFonts w:ascii="Open Sans" w:hAnsi="Open Sans"/>
                <w:b/>
                <w:color w:val="FFFFFF"/>
              </w:rPr>
              <w:t>TIME</w:t>
            </w:r>
          </w:p>
        </w:tc>
        <w:tc>
          <w:tcPr>
            <w:tcW w:type="dxa" w:w="3408"/>
            <w:shd w:fill="1D4289"/>
          </w:tcPr>
          <w:p>
            <w:r>
              <w:rPr>
                <w:rFonts w:ascii="Open Sans" w:hAnsi="Open Sans"/>
                <w:b/>
                <w:color w:val="FFFFFF"/>
              </w:rPr>
              <w:t>DIRECTION</w:t>
            </w:r>
          </w:p>
        </w:tc>
      </w:tr>
      <w:tr>
        <w:tc>
          <w:tcPr>
            <w:tcW w:type="dxa" w:w="3408"/>
            <w:vAlign w:val="center"/>
          </w:tcPr>
          <w:p>
            <w:r>
              <w:t>Opening</w:t>
            </w:r>
          </w:p>
        </w:tc>
        <w:tc>
          <w:tcPr>
            <w:tcW w:type="dxa" w:w="3408"/>
            <w:vAlign w:val="center"/>
          </w:tcPr>
          <w:p>
            <w:r>
              <w:t>6–8 sec</w:t>
            </w:r>
          </w:p>
        </w:tc>
        <w:tc>
          <w:tcPr>
            <w:tcW w:type="dxa" w:w="3408"/>
            <w:vAlign w:val="center"/>
          </w:tcPr>
          <w:p>
            <w:r>
              <w:t>Launch-branded series/title animation only. No stock footage.</w:t>
            </w:r>
          </w:p>
        </w:tc>
      </w:tr>
      <w:tr>
        <w:tc>
          <w:tcPr>
            <w:tcW w:type="dxa" w:w="3408"/>
            <w:vAlign w:val="center"/>
          </w:tcPr>
          <w:p>
            <w:r>
              <w:t>Definition</w:t>
            </w:r>
          </w:p>
        </w:tc>
        <w:tc>
          <w:tcPr>
            <w:tcW w:type="dxa" w:w="3408"/>
            <w:vAlign w:val="center"/>
          </w:tcPr>
          <w:p>
            <w:r>
              <w:t>20–25 sec</w:t>
            </w:r>
          </w:p>
        </w:tc>
        <w:tc>
          <w:tcPr>
            <w:tcW w:type="dxa" w:w="3408"/>
            <w:vAlign w:val="center"/>
          </w:tcPr>
          <w:p>
            <w:r>
              <w:t>Authentic apprentice + mentor environmental footage, then a Launch graphic: PAID EMPLOYMENT + ON-THE-JOB LEARNING + RELATED INSTRUCTION.</w:t>
            </w:r>
          </w:p>
        </w:tc>
      </w:tr>
      <w:tr>
        <w:tc>
          <w:tcPr>
            <w:tcW w:type="dxa" w:w="3408"/>
            <w:vAlign w:val="center"/>
          </w:tcPr>
          <w:p>
            <w:r>
              <w:t>Why it matters</w:t>
            </w:r>
          </w:p>
        </w:tc>
        <w:tc>
          <w:tcPr>
            <w:tcW w:type="dxa" w:w="3408"/>
            <w:vAlign w:val="center"/>
          </w:tcPr>
          <w:p>
            <w:r>
              <w:t>25–30 sec</w:t>
            </w:r>
          </w:p>
        </w:tc>
        <w:tc>
          <w:tcPr>
            <w:tcW w:type="dxa" w:w="3408"/>
            <w:vAlign w:val="center"/>
          </w:tcPr>
          <w:p>
            <w:r>
              <w:t>2–3 distinct authentic occupation environments. Do not imply current Delaware openings.</w:t>
            </w:r>
          </w:p>
        </w:tc>
      </w:tr>
      <w:tr>
        <w:tc>
          <w:tcPr>
            <w:tcW w:type="dxa" w:w="3408"/>
            <w:vAlign w:val="center"/>
          </w:tcPr>
          <w:p>
            <w:r>
              <w:t>How to advise</w:t>
            </w:r>
          </w:p>
        </w:tc>
        <w:tc>
          <w:tcPr>
            <w:tcW w:type="dxa" w:w="3408"/>
            <w:vAlign w:val="center"/>
          </w:tcPr>
          <w:p>
            <w:r>
              <w:t>35–40 sec</w:t>
            </w:r>
          </w:p>
        </w:tc>
        <w:tc>
          <w:tcPr>
            <w:tcW w:type="dxa" w:w="3408"/>
            <w:vAlign w:val="center"/>
          </w:tcPr>
          <w:p>
            <w:r>
              <w:t>Counselor/student interaction, then a major branded process graphic: CAREER GOAL → SEARCH CURRENT OPPORTUNITIES → CHECK REQUIREMENTS → APPLY OR PREPARE → CHECK AGAIN.</w:t>
            </w:r>
          </w:p>
        </w:tc>
      </w:tr>
      <w:tr>
        <w:tc>
          <w:tcPr>
            <w:tcW w:type="dxa" w:w="3408"/>
            <w:vAlign w:val="center"/>
          </w:tcPr>
          <w:p>
            <w:r>
              <w:t>No opening</w:t>
            </w:r>
          </w:p>
        </w:tc>
        <w:tc>
          <w:tcPr>
            <w:tcW w:type="dxa" w:w="3408"/>
            <w:vAlign w:val="center"/>
          </w:tcPr>
          <w:p>
            <w:r>
              <w:t>20–25 sec</w:t>
            </w:r>
          </w:p>
        </w:tc>
        <w:tc>
          <w:tcPr>
            <w:tcW w:type="dxa" w:w="3408"/>
            <w:vAlign w:val="center"/>
          </w:tcPr>
          <w:p>
            <w:r>
              <w:t>Prefer graphic over stock: BUILD SKILLS • PREPARE MATERIALS • EXPLORE RELATED TRAINING • SET A CHECK-BACK DATE.</w:t>
            </w:r>
          </w:p>
        </w:tc>
      </w:tr>
      <w:tr>
        <w:tc>
          <w:tcPr>
            <w:tcW w:type="dxa" w:w="3408"/>
            <w:vAlign w:val="center"/>
          </w:tcPr>
          <w:p>
            <w:r>
              <w:t>Counselor role</w:t>
            </w:r>
          </w:p>
        </w:tc>
        <w:tc>
          <w:tcPr>
            <w:tcW w:type="dxa" w:w="3408"/>
            <w:vAlign w:val="center"/>
          </w:tcPr>
          <w:p>
            <w:r>
              <w:t>20–25 sec</w:t>
            </w:r>
          </w:p>
        </w:tc>
        <w:tc>
          <w:tcPr>
            <w:tcW w:type="dxa" w:w="3408"/>
            <w:vAlign w:val="center"/>
          </w:tcPr>
          <w:p>
            <w:r>
              <w:t>Launch graphic: EXPLAIN • ASK • VERIFY • CONNECT, supported by one authentic counselor/student shot.</w:t>
            </w:r>
          </w:p>
        </w:tc>
      </w:tr>
      <w:tr>
        <w:tc>
          <w:tcPr>
            <w:tcW w:type="dxa" w:w="3408"/>
            <w:vAlign w:val="center"/>
          </w:tcPr>
          <w:p>
            <w:r>
              <w:t>Next move</w:t>
            </w:r>
          </w:p>
        </w:tc>
        <w:tc>
          <w:tcPr>
            <w:tcW w:type="dxa" w:w="3408"/>
            <w:vAlign w:val="center"/>
          </w:tcPr>
          <w:p>
            <w:r>
              <w:t>8–10 sec</w:t>
            </w:r>
          </w:p>
        </w:tc>
        <w:tc>
          <w:tcPr>
            <w:tcW w:type="dxa" w:w="3408"/>
            <w:vAlign w:val="center"/>
          </w:tcPr>
          <w:p>
            <w:r>
              <w:t>Clean branded action card; no stock image.</w:t>
            </w:r>
          </w:p>
        </w:tc>
      </w:tr>
      <w:tr>
        <w:tc>
          <w:tcPr>
            <w:tcW w:type="dxa" w:w="3408"/>
            <w:vAlign w:val="center"/>
          </w:tcPr>
          <w:p>
            <w:r>
              <w:t>Resources</w:t>
            </w:r>
          </w:p>
        </w:tc>
        <w:tc>
          <w:tcPr>
            <w:tcW w:type="dxa" w:w="3408"/>
            <w:vAlign w:val="center"/>
          </w:tcPr>
          <w:p>
            <w:r>
              <w:t>6–8 sec</w:t>
            </w:r>
          </w:p>
        </w:tc>
        <w:tc>
          <w:tcPr>
            <w:tcW w:type="dxa" w:w="3408"/>
            <w:vAlign w:val="center"/>
          </w:tcPr>
          <w:p>
            <w:r>
              <w:t>Clean branded resource card; NO stock photo. Delaware Department of Labor • Apprenticeship.gov.</w:t>
            </w:r>
          </w:p>
        </w:tc>
      </w:tr>
      <w:tr>
        <w:tc>
          <w:tcPr>
            <w:tcW w:type="dxa" w:w="3408"/>
            <w:vAlign w:val="center"/>
          </w:tcPr>
          <w:p>
            <w:r>
              <w:t>Series close</w:t>
            </w:r>
          </w:p>
        </w:tc>
        <w:tc>
          <w:tcPr>
            <w:tcW w:type="dxa" w:w="3408"/>
            <w:vAlign w:val="center"/>
          </w:tcPr>
          <w:p>
            <w:r>
              <w:t>4–5 sec</w:t>
            </w:r>
          </w:p>
        </w:tc>
        <w:tc>
          <w:tcPr>
            <w:tcW w:type="dxa" w:w="3408"/>
            <w:vAlign w:val="center"/>
          </w:tcPr>
          <w:p>
            <w:r>
              <w:t>Launch logo + common sign-off. No other imagery.</w:t>
            </w:r>
          </w:p>
        </w:tc>
      </w:tr>
    </w:tbl>
    <w:p>
      <w:pPr>
        <w:pStyle w:val="Heading1"/>
      </w:pPr>
      <w:r>
        <w:rPr>
          <w:rFonts w:ascii="Open Sans" w:hAnsi="Open Sans" w:eastAsia="Open Sans"/>
          <w:b w:val="0"/>
        </w:rPr>
        <w:t>5. VISUAL SELECTION — RELEASE STANDARD</w:t>
      </w:r>
    </w:p>
    <w:p>
      <w:r>
        <w:rPr>
          <w:rFonts w:ascii="Open Sans" w:hAnsi="Open Sans" w:eastAsia="Open Sans"/>
          <w:b w:val="0"/>
        </w:rPr>
        <w:t>• Every visual must teach the exact concept being narrated. If muting the narration makes the visual meaningless to Registered Apprenticeship, reject it.</w:t>
      </w:r>
    </w:p>
    <w:p>
      <w:r>
        <w:rPr>
          <w:rFonts w:ascii="Open Sans" w:hAnsi="Open Sans" w:eastAsia="Open Sans"/>
          <w:b w:val="0"/>
        </w:rPr>
        <w:t>• Prefer Launch-branded graphics to semantically weak stock footage. Definitions, processes, checklists, comparisons, resource navigation, and next actions should usually be graphical.</w:t>
      </w:r>
    </w:p>
    <w:p>
      <w:r>
        <w:rPr>
          <w:rFonts w:ascii="Open Sans" w:hAnsi="Open Sans" w:eastAsia="Open Sans"/>
          <w:b w:val="0"/>
        </w:rPr>
        <w:t>• Never reuse the same clip or still image. Do not reuse generic certificate imagery or a generic diagram later in the video.</w:t>
      </w:r>
    </w:p>
    <w:p>
      <w:r>
        <w:rPr>
          <w:rFonts w:ascii="Open Sans" w:hAnsi="Open Sans" w:eastAsia="Open Sans"/>
          <w:b w:val="0"/>
        </w:rPr>
        <w:t>• Prohibited: call centers, generic corporate offices, random laptop users, staged handshakes, unrelated meetings, finance/risk imagery, immigration documents, flags used as filler, fake websites, fake employer logos, irrelevant certificates, or decorative career footage.</w:t>
      </w:r>
    </w:p>
    <w:p>
      <w:r>
        <w:rPr>
          <w:rFonts w:ascii="Open Sans" w:hAnsi="Open Sans" w:eastAsia="Open Sans"/>
          <w:b w:val="0"/>
        </w:rPr>
        <w:t>• Human footage must be naturally horizontal. Entire heads visible with headroom. Never crop through face, chin, hands, elbows, knees, or major joints. No unintended partial people at frame edges.</w:t>
      </w:r>
    </w:p>
    <w:p>
      <w:r>
        <w:rPr>
          <w:rFonts w:ascii="Open Sans" w:hAnsi="Open Sans" w:eastAsia="Open Sans"/>
          <w:b w:val="0"/>
        </w:rPr>
        <w:t>• If text is beside a person, use footage with natural negative space. Never crop a person to manufacture text space.</w:t>
      </w:r>
    </w:p>
    <w:p>
      <w:r>
        <w:rPr>
          <w:rFonts w:ascii="Open Sans" w:hAnsi="Open Sans" w:eastAsia="Open Sans"/>
          <w:b w:val="0"/>
        </w:rPr>
        <w:t>• No distorted anatomy, malformed hands, garbled generated text, fake interface text, or visual artifacts.</w:t>
      </w:r>
    </w:p>
    <w:p>
      <w:pPr>
        <w:pStyle w:val="Heading1"/>
      </w:pPr>
      <w:r>
        <w:rPr>
          <w:rFonts w:ascii="Open Sans" w:hAnsi="Open Sans" w:eastAsia="Open Sans"/>
          <w:b w:val="0"/>
        </w:rPr>
        <w:t>6. FACTUAL + ACCESSIBILITY GUARDRAILS</w:t>
      </w:r>
    </w:p>
    <w:p>
      <w:r>
        <w:rPr>
          <w:rFonts w:ascii="Open Sans" w:hAnsi="Open Sans" w:eastAsia="Open Sans"/>
          <w:b w:val="0"/>
        </w:rPr>
        <w:t>• Do not invent or guarantee openings, eligibility, wages, benefits, program length, deadlines, schedules, hiring outcomes, or employer requirements.</w:t>
      </w:r>
    </w:p>
    <w:p>
      <w:r>
        <w:rPr>
          <w:rFonts w:ascii="Open Sans" w:hAnsi="Open Sans" w:eastAsia="Open Sans"/>
          <w:b w:val="0"/>
        </w:rPr>
        <w:t>• Where details vary, say so and direct counselors to official sources. Do not portray counselors as recruiters or imply apprenticeship is right for every student.</w:t>
      </w:r>
    </w:p>
    <w:p>
      <w:r>
        <w:rPr>
          <w:rFonts w:ascii="Open Sans" w:hAnsi="Open Sans" w:eastAsia="Open Sans"/>
          <w:b w:val="0"/>
        </w:rPr>
        <w:t>• Do not fabricate screenshots of Delaware Department of Labor or Apprenticeship.gov. Use accurate interfaces only if available; otherwise use a branded conceptual resource card.</w:t>
      </w:r>
    </w:p>
    <w:p>
      <w:r>
        <w:rPr>
          <w:rFonts w:ascii="Open Sans" w:hAnsi="Open Sans" w:eastAsia="Open Sans"/>
          <w:b w:val="0"/>
        </w:rPr>
        <w:t>• Include accurate synchronized closed captions. Proofread every on-screen word. Maintain strong contrast and adequate reading time.</w:t>
      </w:r>
    </w:p>
    <w:p>
      <w:pPr>
        <w:pStyle w:val="Heading1"/>
      </w:pPr>
      <w:r>
        <w:rPr>
          <w:rFonts w:ascii="Open Sans" w:hAnsi="Open Sans" w:eastAsia="Open Sans"/>
          <w:b w:val="0"/>
        </w:rPr>
        <w:t>7. STANDARDIZED SERIES ENDING — USE ON EVERY VIDEO</w:t>
      </w:r>
    </w:p>
    <w:p>
      <w:r>
        <w:rPr>
          <w:rFonts w:ascii="Open Sans" w:hAnsi="Open Sans" w:eastAsia="Open Sans"/>
          <w:b/>
        </w:rPr>
        <w:t>The resources are not the emotional ending. Use this three-stage outro so every video closes with a recognizable Launch signature.</w:t>
      </w:r>
    </w:p>
    <w:p>
      <w:pPr>
        <w:pStyle w:val="Heading2"/>
      </w:pPr>
      <w:r>
        <w:rPr>
          <w:rFonts w:ascii="Open Sans" w:hAnsi="Open Sans" w:eastAsia="Open Sans"/>
          <w:b w:val="0"/>
        </w:rPr>
        <w:t>STAGE 1 — YOUR NEXT MOVE (8–10 sec)</w:t>
      </w:r>
    </w:p>
    <w:p>
      <w:pPr>
        <w:jc w:val="center"/>
      </w:pPr>
      <w:r>
        <w:rPr>
          <w:rFonts w:ascii="Open Sans" w:hAnsi="Open Sans" w:eastAsia="Open Sans"/>
          <w:b/>
          <w:color w:val="1D4289"/>
        </w:rPr>
        <w:t>YOUR NEXT MOVE</w:t>
        <w:br/>
        <w:t>Help the student identify a career area, explore current opportunities through an official source, and verify the specific requirements.</w:t>
      </w:r>
    </w:p>
    <w:p>
      <w:pPr>
        <w:pStyle w:val="Heading2"/>
      </w:pPr>
      <w:r>
        <w:rPr>
          <w:rFonts w:ascii="Open Sans" w:hAnsi="Open Sans" w:eastAsia="Open Sans"/>
          <w:b w:val="0"/>
        </w:rPr>
        <w:t>STAGE 2 — KEEP EXPLORING (6–8 sec)</w:t>
      </w:r>
    </w:p>
    <w:p>
      <w:pPr>
        <w:jc w:val="center"/>
      </w:pPr>
      <w:r>
        <w:rPr>
          <w:rFonts w:ascii="Open Sans" w:hAnsi="Open Sans" w:eastAsia="Open Sans"/>
          <w:b/>
          <w:color w:val="00B0B9"/>
        </w:rPr>
        <w:t>KEEP EXPLORING</w:t>
        <w:br/>
        <w:t>Delaware Department of Labor • Apprenticeship.gov</w:t>
      </w:r>
    </w:p>
    <w:p>
      <w:r>
        <w:rPr>
          <w:rFonts w:ascii="Open Sans" w:hAnsi="Open Sans" w:eastAsia="Open Sans"/>
          <w:b w:val="0"/>
        </w:rPr>
        <w:t>No stock photograph on the resource screen. In particular, do not use immigration documents, flags, generic business imagery, or unrelated photographs.</w:t>
      </w:r>
    </w:p>
    <w:p>
      <w:pPr>
        <w:pStyle w:val="Heading2"/>
      </w:pPr>
      <w:r>
        <w:rPr>
          <w:rFonts w:ascii="Open Sans" w:hAnsi="Open Sans" w:eastAsia="Open Sans"/>
          <w:b w:val="0"/>
        </w:rPr>
        <w:t>STAGE 3 — COMMON SERIES SIGN-OFF (4–5 sec)</w:t>
      </w:r>
    </w:p>
    <w:p>
      <w:r>
        <w:rPr>
          <w:rFonts w:ascii="Open Sans" w:hAnsi="Open Sans" w:eastAsia="Open Sans"/>
          <w:b/>
        </w:rPr>
        <w:t>Use the supplied Launch logo accurately on a clean brand field. Final narration and on-screen line:</w:t>
      </w:r>
    </w:p>
    <w:p>
      <w:pPr>
        <w:jc w:val="center"/>
      </w:pPr>
      <w:r>
        <w:rPr>
          <w:rFonts w:ascii="Open Sans" w:hAnsi="Open Sans" w:eastAsia="Open Sans"/>
          <w:b/>
          <w:color w:val="FF6720"/>
          <w:sz w:val="28"/>
        </w:rPr>
        <w:t>“Launch Into Your Future. Every student. A next step. A way forward.”</w:t>
      </w:r>
    </w:p>
    <w:p>
      <w:r>
        <w:rPr>
          <w:rFonts w:ascii="Open Sans" w:hAnsi="Open Sans" w:eastAsia="Open Sans"/>
          <w:b w:val="0"/>
        </w:rPr>
        <w:t>Use a subtle professional audio/motion resolution. No Subscribe, Like, social icons, creator outro, or additional message after this line.</w:t>
      </w:r>
    </w:p>
    <w:p>
      <w:pPr>
        <w:pStyle w:val="Heading1"/>
      </w:pPr>
      <w:r>
        <w:rPr>
          <w:rFonts w:ascii="Open Sans" w:hAnsi="Open Sans" w:eastAsia="Open Sans"/>
          <w:b w:val="0"/>
        </w:rPr>
        <w:t>8. FINAL RELEASE GATE</w:t>
      </w:r>
    </w:p>
    <w:p>
      <w:r>
        <w:rPr>
          <w:rFonts w:ascii="Open Sans" w:hAnsi="Open Sans" w:eastAsia="Open Sans"/>
          <w:b w:val="0"/>
        </w:rPr>
        <w:t>1. Opening clearly identifies Launch Into Your Future, Counselor Quick Guide, and Registered Apprenticeships before instructional content begins.</w:t>
      </w:r>
    </w:p>
    <w:p>
      <w:r>
        <w:rPr>
          <w:rFonts w:ascii="Open Sans" w:hAnsi="Open Sans" w:eastAsia="Open Sans"/>
          <w:b w:val="0"/>
        </w:rPr>
        <w:t>2. Runtime is 2:35–2:50; absolute maximum 2:55.</w:t>
      </w:r>
    </w:p>
    <w:p>
      <w:r>
        <w:rPr>
          <w:rFonts w:ascii="Open Sans" w:hAnsi="Open Sans" w:eastAsia="Open Sans"/>
          <w:b w:val="0"/>
        </w:rPr>
        <w:t>3. Only approved Launch/DSS colors are dominant; no purple.</w:t>
      </w:r>
    </w:p>
    <w:p>
      <w:r>
        <w:rPr>
          <w:rFonts w:ascii="Open Sans" w:hAnsi="Open Sans" w:eastAsia="Open Sans"/>
          <w:b w:val="0"/>
        </w:rPr>
        <w:t>4. Supplied Launch logo is accurate and undistorted.</w:t>
      </w:r>
    </w:p>
    <w:p>
      <w:r>
        <w:rPr>
          <w:rFonts w:ascii="Open Sans" w:hAnsi="Open Sans" w:eastAsia="Open Sans"/>
          <w:b w:val="0"/>
        </w:rPr>
        <w:t>5. Every human subject is naturally framed; zero awkward crops or partial people.</w:t>
      </w:r>
    </w:p>
    <w:p>
      <w:r>
        <w:rPr>
          <w:rFonts w:ascii="Open Sans" w:hAnsi="Open Sans" w:eastAsia="Open Sans"/>
          <w:b w:val="0"/>
        </w:rPr>
        <w:t>6. Every visual teaches the exact narration concept; zero filler stock.</w:t>
      </w:r>
    </w:p>
    <w:p>
      <w:r>
        <w:rPr>
          <w:rFonts w:ascii="Open Sans" w:hAnsi="Open Sans" w:eastAsia="Open Sans"/>
          <w:b w:val="0"/>
        </w:rPr>
        <w:t>7. No clip/still or generic graphic is reused.</w:t>
      </w:r>
    </w:p>
    <w:p>
      <w:r>
        <w:rPr>
          <w:rFonts w:ascii="Open Sans" w:hAnsi="Open Sans" w:eastAsia="Open Sans"/>
          <w:b w:val="0"/>
        </w:rPr>
        <w:t>8. No unrelated imagery, including immigration/flag, finance/risk, call-center, or generic corporate visuals.</w:t>
      </w:r>
    </w:p>
    <w:p>
      <w:r>
        <w:rPr>
          <w:rFonts w:ascii="Open Sans" w:hAnsi="Open Sans" w:eastAsia="Open Sans"/>
          <w:b w:val="0"/>
        </w:rPr>
        <w:t>9. Instructional graphics replace weak B-roll where they communicate better.</w:t>
      </w:r>
    </w:p>
    <w:p>
      <w:r>
        <w:rPr>
          <w:rFonts w:ascii="Open Sans" w:hAnsi="Open Sans" w:eastAsia="Open Sans"/>
          <w:b w:val="0"/>
        </w:rPr>
        <w:t>10. No unsupported claims, fake interfaces, invented details, spelling errors, repeated text, malformed graphics, or visual artifacts.</w:t>
      </w:r>
    </w:p>
    <w:p>
      <w:r>
        <w:rPr>
          <w:rFonts w:ascii="Open Sans" w:hAnsi="Open Sans" w:eastAsia="Open Sans"/>
          <w:b w:val="0"/>
        </w:rPr>
        <w:t>11. Captions are accurate, synchronized, and readable.</w:t>
      </w:r>
    </w:p>
    <w:p>
      <w:r>
        <w:rPr>
          <w:rFonts w:ascii="Open Sans" w:hAnsi="Open Sans" w:eastAsia="Open Sans"/>
          <w:b w:val="0"/>
        </w:rPr>
        <w:t>12. The final three-stage outro appears exactly in order: YOUR NEXT MOVE → KEEP EXPLORING → common Launch sign-off.</w:t>
      </w:r>
    </w:p>
    <w:p>
      <w:r>
        <w:rPr>
          <w:rFonts w:ascii="Open Sans" w:hAnsi="Open Sans" w:eastAsia="Open Sans"/>
          <w:b w:val="0"/>
        </w:rPr>
        <w:t>13. The result could credibly be mistaken for a professionally commissioned statewide counselor-training asset rather than AI-generated media.</w:t>
      </w:r>
    </w:p>
    <w:p>
      <w:r>
        <w:rPr>
          <w:rFonts w:ascii="Open Sans" w:hAnsi="Open Sans" w:eastAsia="Open Sans"/>
          <w:b/>
          <w:color w:val="FF6720"/>
        </w:rPr>
        <w:t>If ANY item fails, revise or replace the affected scene before final rendering. Do not render the first assembled version automatically.</w:t>
      </w:r>
    </w:p>
    <w:p>
      <w:pPr>
        <w:pStyle w:val="Heading1"/>
      </w:pPr>
      <w:r>
        <w:rPr>
          <w:rFonts w:ascii="Open Sans" w:hAnsi="Open Sans" w:eastAsia="Open Sans"/>
          <w:b w:val="0"/>
        </w:rPr>
        <w:t>SOURCE / BRAND CONTROL</w:t>
      </w:r>
    </w:p>
    <w:p>
      <w:r>
        <w:rPr>
          <w:rFonts w:ascii="Open Sans" w:hAnsi="Open Sans" w:eastAsia="Open Sans"/>
          <w:b w:val="0"/>
        </w:rPr>
        <w:t>Brand specifications incorporated from the supplied DSS style guide: #00B0B9, #1D4289, #FF6720, #009F4D, #FFB81C; Open Sans family. Launch Into Your Future logo supplied by the project owner. Content source anchors: Delaware Department of Labor and Apprenticeship.gov as identified in the Launch project materials.</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Open Sans" w:hAnsi="Open Sans" w:eastAsia="Open Sans"/>
      <w:b w:val="0"/>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Open Sans" w:hAnsi="Open Sans" w:eastAsia="Open Sans"/>
      <w:b/>
      <w:bCs/>
      <w:color w:val="1D428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Open Sans" w:hAnsi="Open Sans" w:eastAsia="Open Sans"/>
      <w:b/>
      <w:bCs/>
      <w:color w:val="00B0B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Open Sans" w:hAnsi="Open Sans" w:eastAsia="Open Sans"/>
      <w:b/>
      <w:color w:val="1D428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