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right"/>
      </w:pPr>
      <w:r>
        <w:rPr>
          <w:rFonts w:ascii="Open Sans" w:hAnsi="Open Sans"/>
          <w:b/>
          <w:color w:val="1D4289"/>
          <w:sz w:val="17"/>
        </w:rPr>
        <w:t>LAUNCH INTO YOUR FUTURE  |  COUNSELOR QUICK GUIDE 10</w:t>
      </w:r>
    </w:p>
    <w:p>
      <w:pPr>
        <w:spacing w:after="80"/>
        <w:jc w:val="center"/>
      </w:pPr>
      <w:r>
        <w:drawing>
          <wp:inline xmlns:a="http://schemas.openxmlformats.org/drawingml/2006/main" xmlns:pic="http://schemas.openxmlformats.org/drawingml/2006/picture">
            <wp:extent cx="2377440" cy="1132780"/>
            <wp:docPr id="1" name="Picture 1"/>
            <wp:cNvGraphicFramePr>
              <a:graphicFrameLocks noChangeAspect="1"/>
            </wp:cNvGraphicFramePr>
            <a:graphic>
              <a:graphicData uri="http://schemas.openxmlformats.org/drawingml/2006/picture">
                <pic:pic>
                  <pic:nvPicPr>
                    <pic:cNvPr id="0" name="launch_logo(2).png"/>
                    <pic:cNvPicPr/>
                  </pic:nvPicPr>
                  <pic:blipFill>
                    <a:blip r:embed="rId9"/>
                    <a:stretch>
                      <a:fillRect/>
                    </a:stretch>
                  </pic:blipFill>
                  <pic:spPr>
                    <a:xfrm>
                      <a:off x="0" y="0"/>
                      <a:ext cx="2377440" cy="1132780"/>
                    </a:xfrm>
                    <a:prstGeom prst="rect"/>
                  </pic:spPr>
                </pic:pic>
              </a:graphicData>
            </a:graphic>
          </wp:inline>
        </w:drawing>
      </w:r>
    </w:p>
    <w:p>
      <w:pPr>
        <w:spacing w:after="100" w:line="259" w:lineRule="auto"/>
        <w:jc w:val="center"/>
      </w:pPr>
      <w:r>
        <w:rPr>
          <w:rFonts w:ascii="Open Sans" w:hAnsi="Open Sans"/>
          <w:b/>
          <w:color w:val="00B0B9"/>
          <w:sz w:val="26"/>
        </w:rPr>
        <w:t>COPILOT PRODUCTION SOURCE</w:t>
      </w:r>
    </w:p>
    <w:p>
      <w:pPr>
        <w:spacing w:after="40" w:line="259" w:lineRule="auto"/>
        <w:jc w:val="center"/>
      </w:pPr>
      <w:r>
        <w:rPr>
          <w:rFonts w:ascii="Open Sans" w:hAnsi="Open Sans"/>
          <w:b/>
          <w:color w:val="1D4289"/>
          <w:sz w:val="50"/>
        </w:rPr>
        <w:t>Employment After High School</w:t>
      </w:r>
    </w:p>
    <w:p>
      <w:pPr>
        <w:spacing w:after="240" w:line="259" w:lineRule="auto"/>
        <w:jc w:val="center"/>
      </w:pPr>
      <w:r>
        <w:rPr>
          <w:rFonts w:ascii="Open Sans" w:hAnsi="Open Sans"/>
          <w:b w:val="0"/>
          <w:color w:val="23364D"/>
          <w:sz w:val="30"/>
        </w:rPr>
        <w:t>Helping a First Job Become a Career Launch</w:t>
      </w:r>
    </w:p>
    <w:tbl>
      <w:tblPr>
        <w:tblW w:type="auto" w:w="0"/>
        <w:jc w:val="center"/>
        <w:tblLayout w:type="fixed"/>
        <w:tblLook w:firstColumn="1" w:firstRow="1" w:lastColumn="0" w:lastRow="0" w:noHBand="0" w:noVBand="1" w:val="04A0"/>
      </w:tblPr>
      <w:tblGrid>
        <w:gridCol w:w="3456"/>
        <w:gridCol w:w="3456"/>
        <w:gridCol w:w="3456"/>
      </w:tblGrid>
      <w:tr>
        <w:tc>
          <w:tcPr>
            <w:tcW w:type="dxa" w:w="3384"/>
            <w:shd w:fill="1D4289"/>
            <w:tcMar>
              <w:top w:w="120" w:type="dxa"/>
              <w:start w:w="140" w:type="dxa"/>
              <w:bottom w:w="120" w:type="dxa"/>
              <w:end w:w="140" w:type="dxa"/>
            </w:tcMar>
            <w:vAlign w:val="center"/>
          </w:tcPr>
          <w:p>
            <w:pPr>
              <w:jc w:val="center"/>
            </w:pPr>
            <w:r>
              <w:rPr>
                <w:rFonts w:ascii="Open Sans" w:hAnsi="Open Sans"/>
                <w:b/>
                <w:color w:val="FFFFFF"/>
                <w:sz w:val="18"/>
              </w:rPr>
              <w:t>AUDIENCE</w:t>
              <w:br/>
            </w:r>
            <w:r>
              <w:rPr>
                <w:rFonts w:ascii="Open Sans" w:hAnsi="Open Sans"/>
                <w:b/>
                <w:color w:val="FFFFFF"/>
                <w:sz w:val="19"/>
              </w:rPr>
              <w:t>Delaware high school counselors</w:t>
            </w:r>
          </w:p>
        </w:tc>
        <w:tc>
          <w:tcPr>
            <w:tcW w:type="dxa" w:w="3384"/>
            <w:shd w:fill="00B0B9"/>
            <w:tcMar>
              <w:top w:w="120" w:type="dxa"/>
              <w:start w:w="140" w:type="dxa"/>
              <w:bottom w:w="120" w:type="dxa"/>
              <w:end w:w="140" w:type="dxa"/>
            </w:tcMar>
            <w:vAlign w:val="center"/>
          </w:tcPr>
          <w:p>
            <w:pPr>
              <w:jc w:val="center"/>
            </w:pPr>
            <w:r>
              <w:rPr>
                <w:rFonts w:ascii="Open Sans" w:hAnsi="Open Sans"/>
                <w:b/>
                <w:color w:val="FFFFFF"/>
                <w:sz w:val="18"/>
              </w:rPr>
              <w:t>TARGET</w:t>
              <w:br/>
            </w:r>
            <w:r>
              <w:rPr>
                <w:rFonts w:ascii="Open Sans" w:hAnsi="Open Sans"/>
                <w:b/>
                <w:color w:val="FFFFFF"/>
                <w:sz w:val="19"/>
              </w:rPr>
              <w:t>2:30-2:50</w:t>
            </w:r>
          </w:p>
        </w:tc>
        <w:tc>
          <w:tcPr>
            <w:tcW w:type="dxa" w:w="3384"/>
            <w:shd w:fill="FF6720"/>
            <w:tcMar>
              <w:top w:w="120" w:type="dxa"/>
              <w:start w:w="140" w:type="dxa"/>
              <w:bottom w:w="120" w:type="dxa"/>
              <w:end w:w="140" w:type="dxa"/>
            </w:tcMar>
            <w:vAlign w:val="center"/>
          </w:tcPr>
          <w:p>
            <w:pPr>
              <w:jc w:val="center"/>
            </w:pPr>
            <w:r>
              <w:rPr>
                <w:rFonts w:ascii="Open Sans" w:hAnsi="Open Sans"/>
                <w:b/>
                <w:color w:val="FFFFFF"/>
                <w:sz w:val="18"/>
              </w:rPr>
              <w:t>FORMAT</w:t>
              <w:br/>
            </w:r>
            <w:r>
              <w:rPr>
                <w:rFonts w:ascii="Open Sans" w:hAnsi="Open Sans"/>
                <w:b/>
                <w:color w:val="FFFFFF"/>
                <w:sz w:val="19"/>
              </w:rPr>
              <w:t>16:9 professional microlearning</w:t>
            </w:r>
          </w:p>
        </w:tc>
      </w:tr>
    </w:tbl>
    <w:p>
      <w:pPr>
        <w:spacing w:before="180" w:after="100"/>
      </w:pPr>
      <w:r>
        <w:rPr>
          <w:rFonts w:ascii="Open Sans" w:hAnsi="Open Sans"/>
          <w:b/>
          <w:color w:val="1D4289"/>
          <w:sz w:val="34"/>
        </w:rPr>
        <w:t>Production intent</w:t>
      </w:r>
    </w:p>
    <w:p>
      <w:pPr>
        <w:spacing w:after="120" w:line="259" w:lineRule="auto"/>
      </w:pPr>
      <w:r>
        <w:rPr>
          <w:rFonts w:ascii="Open Sans" w:hAnsi="Open Sans"/>
          <w:b w:val="0"/>
          <w:color w:val="23364D"/>
          <w:sz w:val="21"/>
        </w:rPr>
        <w:t>This video helps counselors support students who plan to enter employment after high school. The asset-minded frame is not simply 'find a job.' It is: help the student recognize what they already bring, evaluate the quality of an opportunity, prepare to compete for it, and use the first job to build skills, experience, relationships, and a stronger next step.</w:t>
      </w:r>
    </w:p>
    <w:p>
      <w:pPr>
        <w:spacing w:before="180" w:after="100"/>
      </w:pPr>
      <w:r>
        <w:rPr>
          <w:rFonts w:ascii="Open Sans" w:hAnsi="Open Sans"/>
          <w:b/>
          <w:color w:val="00B0B9"/>
          <w:sz w:val="26"/>
        </w:rPr>
        <w:t>Locked series identity</w:t>
      </w:r>
    </w:p>
    <w:p>
      <w:pPr>
        <w:pStyle w:val="ListBullet"/>
        <w:spacing w:after="60"/>
        <w:ind w:left="288"/>
      </w:pPr>
      <w:r>
        <w:rPr>
          <w:rFonts w:ascii="Open Sans" w:hAnsi="Open Sans"/>
          <w:color w:val="23364D"/>
          <w:sz w:val="21"/>
        </w:rPr>
        <w:t>Use the supplied Launch Into Your Future logo accurately.</w:t>
      </w:r>
    </w:p>
    <w:p>
      <w:pPr>
        <w:pStyle w:val="ListBullet"/>
        <w:spacing w:after="60"/>
        <w:ind w:left="288"/>
      </w:pPr>
      <w:r>
        <w:rPr>
          <w:rFonts w:ascii="Open Sans" w:hAnsi="Open Sans"/>
          <w:color w:val="23364D"/>
          <w:sz w:val="21"/>
        </w:rPr>
        <w:t>Open Sans typography. Approved palette: #1D4289 blue, #00B0B9 teal, #FF6720 orange; #009F4D green and #FFB81C gold selectively.</w:t>
      </w:r>
    </w:p>
    <w:p>
      <w:pPr>
        <w:pStyle w:val="ListBullet"/>
        <w:spacing w:after="60"/>
        <w:ind w:left="288"/>
      </w:pPr>
      <w:r>
        <w:rPr>
          <w:rFonts w:ascii="Open Sans" w:hAnsi="Open Sans"/>
          <w:color w:val="23364D"/>
          <w:sz w:val="21"/>
        </w:rPr>
        <w:t>Use the established series architecture: title opener -&gt; hook -&gt; understand it -&gt; advise it -&gt; navigate it -&gt; Your Next Move -&gt; Keep Exploring -&gt; common sign-off.</w:t>
      </w:r>
    </w:p>
    <w:p>
      <w:pPr>
        <w:pStyle w:val="ListBullet"/>
        <w:spacing w:after="60"/>
        <w:ind w:left="288"/>
      </w:pPr>
      <w:r>
        <w:rPr>
          <w:rFonts w:ascii="Open Sans" w:hAnsi="Open Sans"/>
          <w:color w:val="23364D"/>
          <w:sz w:val="21"/>
        </w:rPr>
        <w:t>Final sign-off: “Launch Into Your Future. Every student. A next step. A way forward.”</w:t>
      </w:r>
    </w:p>
    <w:p>
      <w:r>
        <w:br w:type="page"/>
      </w:r>
    </w:p>
    <w:p>
      <w:pPr>
        <w:spacing w:after="60"/>
        <w:jc w:val="right"/>
      </w:pPr>
      <w:r>
        <w:rPr>
          <w:rFonts w:ascii="Open Sans" w:hAnsi="Open Sans"/>
          <w:b/>
          <w:color w:val="1D4289"/>
          <w:sz w:val="17"/>
        </w:rPr>
        <w:t>LAUNCH INTO YOUR FUTURE  |  COUNSELOR QUICK GUIDE 10</w:t>
      </w:r>
    </w:p>
    <w:p>
      <w:pPr>
        <w:spacing w:before="180" w:after="100"/>
      </w:pPr>
      <w:r>
        <w:rPr>
          <w:rFonts w:ascii="Open Sans" w:hAnsi="Open Sans"/>
          <w:b/>
          <w:color w:val="1D4289"/>
          <w:sz w:val="34"/>
        </w:rPr>
        <w:t>FINAL NARRATION - READ VERBATIM</w:t>
      </w:r>
    </w:p>
    <w:p>
      <w:pPr>
        <w:spacing w:after="160" w:line="259" w:lineRule="auto"/>
      </w:pPr>
      <w:r>
        <w:rPr>
          <w:rFonts w:ascii="Open Sans" w:hAnsi="Open Sans"/>
          <w:b/>
          <w:color w:val="FF6720"/>
          <w:sz w:val="20"/>
        </w:rPr>
        <w:t>Use this narration exactly as written. Do not paraphrase, condense, expand, or substitute a new script.</w:t>
      </w:r>
    </w:p>
    <w:p>
      <w:pPr>
        <w:spacing w:after="140" w:line="259" w:lineRule="auto"/>
      </w:pPr>
      <w:r>
        <w:rPr>
          <w:rFonts w:ascii="Open Sans" w:hAnsi="Open Sans"/>
          <w:b/>
          <w:color w:val="00B0B9"/>
          <w:sz w:val="21"/>
        </w:rPr>
        <w:t xml:space="preserve">OPEN / HOOK </w:t>
      </w:r>
      <w:r>
        <w:rPr>
          <w:rFonts w:ascii="Open Sans" w:hAnsi="Open Sans"/>
          <w:color w:val="23364D"/>
          <w:sz w:val="21"/>
        </w:rPr>
        <w:t>For some students, the strongest next step after graduation is going directly to work. That can be more than a paycheck. A well-chosen first job can build skills, experience, professional relationships, and momentum toward a career. Here’s what counselors need to know.</w:t>
      </w:r>
    </w:p>
    <w:p>
      <w:pPr>
        <w:spacing w:after="140" w:line="259" w:lineRule="auto"/>
      </w:pPr>
      <w:r>
        <w:rPr>
          <w:rFonts w:ascii="Open Sans" w:hAnsi="Open Sans"/>
          <w:b/>
          <w:color w:val="00B0B9"/>
          <w:sz w:val="21"/>
        </w:rPr>
        <w:t xml:space="preserve">START WITH THE STUDENT </w:t>
      </w:r>
      <w:r>
        <w:rPr>
          <w:rFonts w:ascii="Open Sans" w:hAnsi="Open Sans"/>
          <w:color w:val="23364D"/>
          <w:sz w:val="21"/>
        </w:rPr>
        <w:t>Begin with the assets the student already has. What skills did they build in school? What did they learn through CTE, work-based learning, volunteering, activities, or a part-time job? What responsibilities have they already handled well? Helping students name those strengths gives them better language for resumes, applications, and interviews.</w:t>
      </w:r>
    </w:p>
    <w:p>
      <w:pPr>
        <w:spacing w:after="140" w:line="259" w:lineRule="auto"/>
      </w:pPr>
      <w:r>
        <w:rPr>
          <w:rFonts w:ascii="Open Sans" w:hAnsi="Open Sans"/>
          <w:b/>
          <w:color w:val="00B0B9"/>
          <w:sz w:val="21"/>
        </w:rPr>
        <w:t xml:space="preserve">LOOK BEYOND THE HOURLY WAGE </w:t>
      </w:r>
      <w:r>
        <w:rPr>
          <w:rFonts w:ascii="Open Sans" w:hAnsi="Open Sans"/>
          <w:color w:val="23364D"/>
          <w:sz w:val="21"/>
        </w:rPr>
        <w:t>Next, help the student evaluate the opportunity, not just the hourly wage. Ask what they will learn, whether the employer provides training, whether the job can lead to greater responsibility, and whether benefits, tuition assistance, credentials, or other opportunities are available. A strong first job should help the student build something they can carry forward.</w:t>
      </w:r>
    </w:p>
    <w:p>
      <w:pPr>
        <w:spacing w:after="140" w:line="259" w:lineRule="auto"/>
      </w:pPr>
      <w:r>
        <w:rPr>
          <w:rFonts w:ascii="Open Sans" w:hAnsi="Open Sans"/>
          <w:b/>
          <w:color w:val="00B0B9"/>
          <w:sz w:val="21"/>
        </w:rPr>
        <w:t xml:space="preserve">CHECK THE FIT </w:t>
      </w:r>
      <w:r>
        <w:rPr>
          <w:rFonts w:ascii="Open Sans" w:hAnsi="Open Sans"/>
          <w:color w:val="23364D"/>
          <w:sz w:val="21"/>
        </w:rPr>
        <w:t>The practical details matter too. What schedule is expected? Can the student get to work reliably? Are there age, license, screening, or other job requirements? What does the employer expect for attendance, communication, safety, and professionalism? These questions help the student understand what success will require before accepting the job.</w:t>
      </w:r>
    </w:p>
    <w:p>
      <w:pPr>
        <w:spacing w:after="140" w:line="259" w:lineRule="auto"/>
      </w:pPr>
      <w:r>
        <w:rPr>
          <w:rFonts w:ascii="Open Sans" w:hAnsi="Open Sans"/>
          <w:b/>
          <w:color w:val="00B0B9"/>
          <w:sz w:val="21"/>
        </w:rPr>
        <w:t xml:space="preserve">PREPARE TO COMPETE </w:t>
      </w:r>
      <w:r>
        <w:rPr>
          <w:rFonts w:ascii="Open Sans" w:hAnsi="Open Sans"/>
          <w:color w:val="23364D"/>
          <w:sz w:val="21"/>
        </w:rPr>
        <w:t>Then help the student prepare to compete. Turn school, work-based learning, service, activities, and part-time experience into a clear resume. Practice how to describe strengths with examples. Prepare for interviews. Identify references. And make sure the student knows how to follow up professionally.</w:t>
      </w:r>
    </w:p>
    <w:p>
      <w:pPr>
        <w:spacing w:after="140" w:line="259" w:lineRule="auto"/>
      </w:pPr>
      <w:r>
        <w:rPr>
          <w:rFonts w:ascii="Open Sans" w:hAnsi="Open Sans"/>
          <w:b/>
          <w:color w:val="00B0B9"/>
          <w:sz w:val="21"/>
        </w:rPr>
        <w:t xml:space="preserve">USE TRUSTED TOOLS </w:t>
      </w:r>
      <w:r>
        <w:rPr>
          <w:rFonts w:ascii="Open Sans" w:hAnsi="Open Sans"/>
          <w:color w:val="23364D"/>
          <w:sz w:val="21"/>
        </w:rPr>
        <w:t>Delaware JobLink can support this process. Students can search jobs, build and post resumes, explore in-demand occupations, find job fairs and workshops, and connect with career counselors. Counselors can use it as one tool for moving from career interest to real opportunities.</w:t>
      </w:r>
    </w:p>
    <w:p>
      <w:pPr>
        <w:spacing w:after="140" w:line="259" w:lineRule="auto"/>
      </w:pPr>
      <w:r>
        <w:rPr>
          <w:rFonts w:ascii="Open Sans" w:hAnsi="Open Sans"/>
          <w:b/>
          <w:color w:val="00B0B9"/>
          <w:sz w:val="21"/>
        </w:rPr>
        <w:t xml:space="preserve">COUNSELOR ROLE </w:t>
      </w:r>
      <w:r>
        <w:rPr>
          <w:rFonts w:ascii="Open Sans" w:hAnsi="Open Sans"/>
          <w:color w:val="23364D"/>
          <w:sz w:val="21"/>
        </w:rPr>
        <w:t>The goal is not to choose a job for the student. It is to help the student ask a stronger question: What will this opportunity help me learn, earn, and become ready for next? That turns employment after high school into career navigation.</w:t>
      </w:r>
    </w:p>
    <w:p>
      <w:pPr>
        <w:spacing w:after="140" w:line="259" w:lineRule="auto"/>
      </w:pPr>
      <w:r>
        <w:rPr>
          <w:rFonts w:ascii="Open Sans" w:hAnsi="Open Sans"/>
          <w:b/>
          <w:color w:val="00B0B9"/>
          <w:sz w:val="21"/>
        </w:rPr>
        <w:t xml:space="preserve">NEXT MOVE </w:t>
      </w:r>
      <w:r>
        <w:rPr>
          <w:rFonts w:ascii="Open Sans" w:hAnsi="Open Sans"/>
          <w:color w:val="23364D"/>
          <w:sz w:val="21"/>
        </w:rPr>
        <w:t>When a student plans to work after graduation, help them identify their strengths, compare opportunities, prepare strong application materials, and choose one concrete next action: search, apply, practice an interview, attend a job fair, or connect with a career counselor.</w:t>
      </w:r>
    </w:p>
    <w:p>
      <w:pPr>
        <w:spacing w:after="140" w:line="259" w:lineRule="auto"/>
      </w:pPr>
      <w:r>
        <w:rPr>
          <w:rFonts w:ascii="Open Sans" w:hAnsi="Open Sans"/>
          <w:b/>
          <w:color w:val="00B0B9"/>
          <w:sz w:val="21"/>
        </w:rPr>
        <w:t xml:space="preserve">RESOURCES / SIGN-OFF </w:t>
      </w:r>
      <w:r>
        <w:rPr>
          <w:rFonts w:ascii="Open Sans" w:hAnsi="Open Sans"/>
          <w:color w:val="23364D"/>
          <w:sz w:val="21"/>
        </w:rPr>
        <w:t>Keep exploring with Delaware JobLink, Delaware American Job Centers, and Delaware Student Success career resources. Launch Into Your Future. Every student. A next step. A way forward.</w:t>
      </w:r>
    </w:p>
    <w:p>
      <w:r>
        <w:br w:type="page"/>
      </w:r>
    </w:p>
    <w:p>
      <w:pPr>
        <w:spacing w:after="60"/>
        <w:jc w:val="right"/>
      </w:pPr>
      <w:r>
        <w:rPr>
          <w:rFonts w:ascii="Open Sans" w:hAnsi="Open Sans"/>
          <w:b/>
          <w:color w:val="1D4289"/>
          <w:sz w:val="17"/>
        </w:rPr>
        <w:t>LAUNCH INTO YOUR FUTURE  |  COUNSELOR QUICK GUIDE 10</w:t>
      </w:r>
    </w:p>
    <w:p>
      <w:pPr>
        <w:spacing w:before="180" w:after="100"/>
      </w:pPr>
      <w:r>
        <w:rPr>
          <w:rFonts w:ascii="Open Sans" w:hAnsi="Open Sans"/>
          <w:b/>
          <w:color w:val="1D4289"/>
          <w:sz w:val="34"/>
        </w:rPr>
        <w:t>Counselor teaching architecture</w:t>
      </w:r>
    </w:p>
    <w:p>
      <w:pPr>
        <w:spacing w:after="120" w:line="259" w:lineRule="auto"/>
      </w:pPr>
      <w:r>
        <w:rPr>
          <w:rFonts w:ascii="Open Sans" w:hAnsi="Open Sans"/>
          <w:b w:val="0"/>
          <w:color w:val="23364D"/>
          <w:sz w:val="21"/>
        </w:rPr>
        <w:t>The video should feel distinct from Apprenticeships and Short-Term Credentials. This is about evaluating and launching from a first employment opportunity, not enrolling in a structured apprenticeship or training program.</w:t>
      </w:r>
    </w:p>
    <w:p>
      <w:pPr>
        <w:spacing w:before="180" w:after="100"/>
      </w:pPr>
      <w:r>
        <w:rPr>
          <w:rFonts w:ascii="Open Sans" w:hAnsi="Open Sans"/>
          <w:b/>
          <w:color w:val="00B0B9"/>
          <w:sz w:val="26"/>
        </w:rPr>
        <w:t>1. Start with assets</w:t>
      </w:r>
    </w:p>
    <w:p>
      <w:pPr>
        <w:pStyle w:val="ListBullet"/>
        <w:spacing w:after="60"/>
        <w:ind w:left="288"/>
      </w:pPr>
      <w:r>
        <w:rPr>
          <w:rFonts w:ascii="Open Sans" w:hAnsi="Open Sans"/>
          <w:color w:val="23364D"/>
          <w:sz w:val="21"/>
        </w:rPr>
        <w:t>Skills developed in school or CTE</w:t>
      </w:r>
    </w:p>
    <w:p>
      <w:pPr>
        <w:pStyle w:val="ListBullet"/>
        <w:spacing w:after="60"/>
        <w:ind w:left="288"/>
      </w:pPr>
      <w:r>
        <w:rPr>
          <w:rFonts w:ascii="Open Sans" w:hAnsi="Open Sans"/>
          <w:color w:val="23364D"/>
          <w:sz w:val="21"/>
        </w:rPr>
        <w:t>Work-based learning or part-time employment</w:t>
      </w:r>
    </w:p>
    <w:p>
      <w:pPr>
        <w:pStyle w:val="ListBullet"/>
        <w:spacing w:after="60"/>
        <w:ind w:left="288"/>
      </w:pPr>
      <w:r>
        <w:rPr>
          <w:rFonts w:ascii="Open Sans" w:hAnsi="Open Sans"/>
          <w:color w:val="23364D"/>
          <w:sz w:val="21"/>
        </w:rPr>
        <w:t>Service, activities, leadership, and responsibilities</w:t>
      </w:r>
    </w:p>
    <w:p>
      <w:pPr>
        <w:pStyle w:val="ListBullet"/>
        <w:spacing w:after="60"/>
        <w:ind w:left="288"/>
      </w:pPr>
      <w:r>
        <w:rPr>
          <w:rFonts w:ascii="Open Sans" w:hAnsi="Open Sans"/>
          <w:color w:val="23364D"/>
          <w:sz w:val="21"/>
        </w:rPr>
        <w:t>Reliability, communication, teamwork, problem-solving, and technical skills</w:t>
      </w:r>
    </w:p>
    <w:p>
      <w:pPr>
        <w:spacing w:before="180" w:after="100"/>
      </w:pPr>
      <w:r>
        <w:rPr>
          <w:rFonts w:ascii="Open Sans" w:hAnsi="Open Sans"/>
          <w:b/>
          <w:color w:val="00B0B9"/>
          <w:sz w:val="26"/>
        </w:rPr>
        <w:t>2. Evaluate the whole opportunity</w:t>
      </w:r>
    </w:p>
    <w:p>
      <w:pPr>
        <w:spacing w:after="140" w:line="259" w:lineRule="auto"/>
      </w:pPr>
      <w:r>
        <w:rPr>
          <w:rFonts w:ascii="Open Sans" w:hAnsi="Open Sans"/>
          <w:b/>
          <w:color w:val="00B0B9"/>
          <w:sz w:val="21"/>
        </w:rPr>
        <w:t xml:space="preserve">LEARNING </w:t>
      </w:r>
      <w:r>
        <w:rPr>
          <w:rFonts w:ascii="Open Sans" w:hAnsi="Open Sans"/>
          <w:color w:val="23364D"/>
          <w:sz w:val="21"/>
        </w:rPr>
        <w:t>What skills and experience will the student build?</w:t>
      </w:r>
    </w:p>
    <w:p>
      <w:pPr>
        <w:spacing w:after="140" w:line="259" w:lineRule="auto"/>
      </w:pPr>
      <w:r>
        <w:rPr>
          <w:rFonts w:ascii="Open Sans" w:hAnsi="Open Sans"/>
          <w:b/>
          <w:color w:val="00B0B9"/>
          <w:sz w:val="21"/>
        </w:rPr>
        <w:t xml:space="preserve">ADVANCEMENT </w:t>
      </w:r>
      <w:r>
        <w:rPr>
          <w:rFonts w:ascii="Open Sans" w:hAnsi="Open Sans"/>
          <w:color w:val="23364D"/>
          <w:sz w:val="21"/>
        </w:rPr>
        <w:t>Can the role lead to greater responsibility or a stronger next opportunity?</w:t>
      </w:r>
    </w:p>
    <w:p>
      <w:pPr>
        <w:spacing w:after="140" w:line="259" w:lineRule="auto"/>
      </w:pPr>
      <w:r>
        <w:rPr>
          <w:rFonts w:ascii="Open Sans" w:hAnsi="Open Sans"/>
          <w:b/>
          <w:color w:val="00B0B9"/>
          <w:sz w:val="21"/>
        </w:rPr>
        <w:t xml:space="preserve">TOTAL VALUE </w:t>
      </w:r>
      <w:r>
        <w:rPr>
          <w:rFonts w:ascii="Open Sans" w:hAnsi="Open Sans"/>
          <w:color w:val="23364D"/>
          <w:sz w:val="21"/>
        </w:rPr>
        <w:t>Beyond wages, are there benefits, training, tuition assistance, credentials, or other supports?</w:t>
      </w:r>
    </w:p>
    <w:p>
      <w:pPr>
        <w:spacing w:after="140" w:line="259" w:lineRule="auto"/>
      </w:pPr>
      <w:r>
        <w:rPr>
          <w:rFonts w:ascii="Open Sans" w:hAnsi="Open Sans"/>
          <w:b/>
          <w:color w:val="00B0B9"/>
          <w:sz w:val="21"/>
        </w:rPr>
        <w:t xml:space="preserve">FIT </w:t>
      </w:r>
      <w:r>
        <w:rPr>
          <w:rFonts w:ascii="Open Sans" w:hAnsi="Open Sans"/>
          <w:color w:val="23364D"/>
          <w:sz w:val="21"/>
        </w:rPr>
        <w:t>Do schedule, transportation, expectations, and requirements work for the student?</w:t>
      </w:r>
    </w:p>
    <w:p>
      <w:pPr>
        <w:spacing w:before="180" w:after="100"/>
      </w:pPr>
      <w:r>
        <w:rPr>
          <w:rFonts w:ascii="Open Sans" w:hAnsi="Open Sans"/>
          <w:b/>
          <w:color w:val="00B0B9"/>
          <w:sz w:val="26"/>
        </w:rPr>
        <w:t>3. Prepare to compete</w:t>
      </w:r>
    </w:p>
    <w:p>
      <w:pPr>
        <w:spacing w:after="120" w:line="259" w:lineRule="auto"/>
      </w:pPr>
      <w:r>
        <w:rPr>
          <w:rFonts w:ascii="Open Sans" w:hAnsi="Open Sans"/>
          <w:b/>
          <w:color w:val="1D4289"/>
          <w:sz w:val="22"/>
        </w:rPr>
        <w:t>Resume -&gt; examples of strengths -&gt; interview practice -&gt; references -&gt; professional follow-up</w:t>
      </w:r>
    </w:p>
    <w:p>
      <w:pPr>
        <w:spacing w:before="180" w:after="100"/>
      </w:pPr>
      <w:r>
        <w:rPr>
          <w:rFonts w:ascii="Open Sans" w:hAnsi="Open Sans"/>
          <w:b/>
          <w:color w:val="00B0B9"/>
          <w:sz w:val="26"/>
        </w:rPr>
        <w:t>4. The counselor question</w:t>
      </w:r>
    </w:p>
    <w:p>
      <w:pPr>
        <w:spacing w:after="160" w:line="259" w:lineRule="auto"/>
        <w:jc w:val="center"/>
      </w:pPr>
      <w:r>
        <w:rPr>
          <w:rFonts w:ascii="Open Sans" w:hAnsi="Open Sans"/>
          <w:b/>
          <w:color w:val="FF6720"/>
          <w:sz w:val="30"/>
        </w:rPr>
        <w:t>“What will this opportunity help me learn, earn, and become ready for next?”</w:t>
      </w:r>
    </w:p>
    <w:p>
      <w:pPr>
        <w:spacing w:before="180" w:after="100"/>
      </w:pPr>
      <w:r>
        <w:rPr>
          <w:rFonts w:ascii="Open Sans" w:hAnsi="Open Sans"/>
          <w:b/>
          <w:color w:val="00B0B9"/>
          <w:sz w:val="26"/>
        </w:rPr>
        <w:t>5. The pathway</w:t>
      </w:r>
    </w:p>
    <w:p>
      <w:pPr>
        <w:spacing w:after="160" w:line="259" w:lineRule="auto"/>
        <w:jc w:val="center"/>
      </w:pPr>
      <w:r>
        <w:rPr>
          <w:rFonts w:ascii="Open Sans" w:hAnsi="Open Sans"/>
          <w:b/>
          <w:color w:val="1D4289"/>
          <w:sz w:val="26"/>
        </w:rPr>
        <w:t>STUDENT ASSETS  -&gt;  FIRST JOB  -&gt;  SKILLS &amp; EXPERIENCE  -&gt;  NEXT OPPORTUNITY</w:t>
      </w:r>
    </w:p>
    <w:p>
      <w:r>
        <w:br w:type="page"/>
      </w:r>
    </w:p>
    <w:p>
      <w:pPr>
        <w:spacing w:after="60"/>
        <w:jc w:val="right"/>
      </w:pPr>
      <w:r>
        <w:rPr>
          <w:rFonts w:ascii="Open Sans" w:hAnsi="Open Sans"/>
          <w:b/>
          <w:color w:val="1D4289"/>
          <w:sz w:val="17"/>
        </w:rPr>
        <w:t>LAUNCH INTO YOUR FUTURE  |  COUNSELOR QUICK GUIDE 10</w:t>
      </w:r>
    </w:p>
    <w:p>
      <w:pPr>
        <w:spacing w:before="180" w:after="100"/>
      </w:pPr>
      <w:r>
        <w:rPr>
          <w:rFonts w:ascii="Open Sans" w:hAnsi="Open Sans"/>
          <w:b/>
          <w:color w:val="1D4289"/>
          <w:sz w:val="34"/>
        </w:rPr>
        <w:t>Directed visual plan - designed for easy Clipchamp editing</w:t>
      </w:r>
    </w:p>
    <w:tbl>
      <w:tblPr>
        <w:tblW w:type="auto" w:w="0"/>
        <w:jc w:val="center"/>
        <w:tblLayout w:type="fixed"/>
        <w:tblLook w:firstColumn="1" w:firstRow="1" w:lastColumn="0" w:lastRow="0" w:noHBand="0" w:noVBand="1" w:val="04A0"/>
      </w:tblPr>
      <w:tblGrid>
        <w:gridCol w:w="3456"/>
        <w:gridCol w:w="3456"/>
        <w:gridCol w:w="3456"/>
      </w:tblGrid>
      <w:tr>
        <w:tc>
          <w:tcPr>
            <w:tcW w:type="dxa" w:w="1440"/>
            <w:shd w:fill="1D4289"/>
            <w:tcMar>
              <w:top w:w="120" w:type="dxa"/>
              <w:start w:w="140" w:type="dxa"/>
              <w:bottom w:w="120" w:type="dxa"/>
              <w:end w:w="140" w:type="dxa"/>
            </w:tcMar>
          </w:tcPr>
          <w:p>
            <w:r>
              <w:rPr>
                <w:rFonts w:ascii="Open Sans" w:hAnsi="Open Sans"/>
                <w:b/>
                <w:color w:val="FFFFFF"/>
                <w:sz w:val="18"/>
              </w:rPr>
              <w:t>TIME</w:t>
            </w:r>
          </w:p>
        </w:tc>
        <w:tc>
          <w:tcPr>
            <w:tcW w:type="dxa" w:w="1944"/>
            <w:shd w:fill="1D4289"/>
            <w:tcMar>
              <w:top w:w="120" w:type="dxa"/>
              <w:start w:w="140" w:type="dxa"/>
              <w:bottom w:w="120" w:type="dxa"/>
              <w:end w:w="140" w:type="dxa"/>
            </w:tcMar>
          </w:tcPr>
          <w:p>
            <w:r>
              <w:rPr>
                <w:rFonts w:ascii="Open Sans" w:hAnsi="Open Sans"/>
                <w:b/>
                <w:color w:val="FFFFFF"/>
                <w:sz w:val="18"/>
              </w:rPr>
              <w:t>BEAT</w:t>
            </w:r>
          </w:p>
        </w:tc>
        <w:tc>
          <w:tcPr>
            <w:tcW w:type="dxa" w:w="6696"/>
            <w:shd w:fill="1D4289"/>
            <w:tcMar>
              <w:top w:w="120" w:type="dxa"/>
              <w:start w:w="140" w:type="dxa"/>
              <w:bottom w:w="120" w:type="dxa"/>
              <w:end w:w="140" w:type="dxa"/>
            </w:tcMar>
          </w:tcPr>
          <w:p>
            <w:r>
              <w:rPr>
                <w:rFonts w:ascii="Open Sans" w:hAnsi="Open Sans"/>
                <w:b/>
                <w:color w:val="FFFFFF"/>
                <w:sz w:val="18"/>
              </w:rPr>
              <w:t>VISUAL DIRECTION</w:t>
            </w:r>
          </w:p>
        </w:tc>
      </w:tr>
      <w:tr>
        <w:tc>
          <w:tcPr>
            <w:tcW w:type="dxa" w:w="1440"/>
            <w:tcMar>
              <w:top w:w="100" w:type="dxa"/>
              <w:start w:w="120" w:type="dxa"/>
              <w:bottom w:w="100" w:type="dxa"/>
              <w:end w:w="120" w:type="dxa"/>
            </w:tcMar>
            <w:vAlign w:val="center"/>
          </w:tcPr>
          <w:p>
            <w:r>
              <w:rPr>
                <w:rFonts w:ascii="Open Sans" w:hAnsi="Open Sans"/>
                <w:b w:val="0"/>
                <w:color w:val="23364D"/>
                <w:sz w:val="17"/>
              </w:rPr>
              <w:t>0:00-0:07</w:t>
            </w:r>
          </w:p>
        </w:tc>
        <w:tc>
          <w:tcPr>
            <w:tcW w:type="dxa" w:w="1944"/>
            <w:tcMar>
              <w:top w:w="100" w:type="dxa"/>
              <w:start w:w="120" w:type="dxa"/>
              <w:bottom w:w="100" w:type="dxa"/>
              <w:end w:w="120" w:type="dxa"/>
            </w:tcMar>
            <w:vAlign w:val="center"/>
          </w:tcPr>
          <w:p>
            <w:r>
              <w:rPr>
                <w:rFonts w:ascii="Open Sans" w:hAnsi="Open Sans"/>
                <w:b/>
                <w:color w:val="1D4289"/>
                <w:sz w:val="17"/>
              </w:rPr>
              <w:t>SERIES OPENER</w:t>
            </w:r>
          </w:p>
        </w:tc>
        <w:tc>
          <w:tcPr>
            <w:tcW w:type="dxa" w:w="6696"/>
            <w:tcMar>
              <w:top w:w="100" w:type="dxa"/>
              <w:start w:w="120" w:type="dxa"/>
              <w:bottom w:w="100" w:type="dxa"/>
              <w:end w:w="120" w:type="dxa"/>
            </w:tcMar>
            <w:vAlign w:val="center"/>
          </w:tcPr>
          <w:p>
            <w:r>
              <w:rPr>
                <w:rFonts w:ascii="Open Sans" w:hAnsi="Open Sans"/>
                <w:b w:val="0"/>
                <w:color w:val="23364D"/>
                <w:sz w:val="17"/>
              </w:rPr>
              <w:t>Launch logo + COUNSELOR QUICK GUIDE + EMPLOYMENT AFTER HIGH SCHOOL + What counselors need to know. Brand graphics only.</w:t>
            </w:r>
          </w:p>
        </w:tc>
      </w:tr>
      <w:tr>
        <w:tc>
          <w:tcPr>
            <w:tcW w:type="dxa" w:w="1440"/>
            <w:tcMar>
              <w:top w:w="100" w:type="dxa"/>
              <w:start w:w="120" w:type="dxa"/>
              <w:bottom w:w="100" w:type="dxa"/>
              <w:end w:w="120" w:type="dxa"/>
            </w:tcMar>
            <w:vAlign w:val="center"/>
          </w:tcPr>
          <w:p>
            <w:r>
              <w:rPr>
                <w:rFonts w:ascii="Open Sans" w:hAnsi="Open Sans"/>
                <w:b w:val="0"/>
                <w:color w:val="23364D"/>
                <w:sz w:val="17"/>
              </w:rPr>
              <w:t>0:07-0:25</w:t>
            </w:r>
          </w:p>
        </w:tc>
        <w:tc>
          <w:tcPr>
            <w:tcW w:type="dxa" w:w="1944"/>
            <w:tcMar>
              <w:top w:w="100" w:type="dxa"/>
              <w:start w:w="120" w:type="dxa"/>
              <w:bottom w:w="100" w:type="dxa"/>
              <w:end w:w="120" w:type="dxa"/>
            </w:tcMar>
            <w:vAlign w:val="center"/>
          </w:tcPr>
          <w:p>
            <w:r>
              <w:rPr>
                <w:rFonts w:ascii="Open Sans" w:hAnsi="Open Sans"/>
                <w:b/>
                <w:color w:val="1D4289"/>
                <w:sz w:val="17"/>
              </w:rPr>
              <w:t>HOOK</w:t>
            </w:r>
          </w:p>
        </w:tc>
        <w:tc>
          <w:tcPr>
            <w:tcW w:type="dxa" w:w="6696"/>
            <w:tcMar>
              <w:top w:w="100" w:type="dxa"/>
              <w:start w:w="120" w:type="dxa"/>
              <w:bottom w:w="100" w:type="dxa"/>
              <w:end w:w="120" w:type="dxa"/>
            </w:tcMar>
            <w:vAlign w:val="center"/>
          </w:tcPr>
          <w:p>
            <w:r>
              <w:rPr>
                <w:rFonts w:ascii="Open Sans" w:hAnsi="Open Sans"/>
                <w:b w:val="0"/>
                <w:color w:val="23364D"/>
                <w:sz w:val="17"/>
              </w:rPr>
              <w:t>Positive graduating senior entering a workplace or being welcomed by a supervisor. Avoid staged handshake as the only idea. Text card: A FIRST JOB CAN BUILD MORE THAN A PAYCHECK.</w:t>
            </w:r>
          </w:p>
        </w:tc>
      </w:tr>
      <w:tr>
        <w:tc>
          <w:tcPr>
            <w:tcW w:type="dxa" w:w="1440"/>
            <w:tcMar>
              <w:top w:w="100" w:type="dxa"/>
              <w:start w:w="120" w:type="dxa"/>
              <w:bottom w:w="100" w:type="dxa"/>
              <w:end w:w="120" w:type="dxa"/>
            </w:tcMar>
            <w:vAlign w:val="center"/>
          </w:tcPr>
          <w:p>
            <w:r>
              <w:rPr>
                <w:rFonts w:ascii="Open Sans" w:hAnsi="Open Sans"/>
                <w:b w:val="0"/>
                <w:color w:val="23364D"/>
                <w:sz w:val="17"/>
              </w:rPr>
              <w:t>0:25-0:50</w:t>
            </w:r>
          </w:p>
        </w:tc>
        <w:tc>
          <w:tcPr>
            <w:tcW w:type="dxa" w:w="1944"/>
            <w:tcMar>
              <w:top w:w="100" w:type="dxa"/>
              <w:start w:w="120" w:type="dxa"/>
              <w:bottom w:w="100" w:type="dxa"/>
              <w:end w:w="120" w:type="dxa"/>
            </w:tcMar>
            <w:vAlign w:val="center"/>
          </w:tcPr>
          <w:p>
            <w:r>
              <w:rPr>
                <w:rFonts w:ascii="Open Sans" w:hAnsi="Open Sans"/>
                <w:b/>
                <w:color w:val="1D4289"/>
                <w:sz w:val="17"/>
              </w:rPr>
              <w:t>STUDENT ASSETS</w:t>
            </w:r>
          </w:p>
        </w:tc>
        <w:tc>
          <w:tcPr>
            <w:tcW w:type="dxa" w:w="6696"/>
            <w:tcMar>
              <w:top w:w="100" w:type="dxa"/>
              <w:start w:w="120" w:type="dxa"/>
              <w:bottom w:w="100" w:type="dxa"/>
              <w:end w:w="120" w:type="dxa"/>
            </w:tcMar>
            <w:vAlign w:val="center"/>
          </w:tcPr>
          <w:p>
            <w:r>
              <w:rPr>
                <w:rFonts w:ascii="Open Sans" w:hAnsi="Open Sans"/>
                <w:b w:val="0"/>
                <w:color w:val="23364D"/>
                <w:sz w:val="17"/>
              </w:rPr>
              <w:t>Student and counselor standing at a whiteboard or reviewing a resume. Show real examples of school, CTE, WBL, service, activities, or part-time experience becoming resume strengths.</w:t>
            </w:r>
          </w:p>
        </w:tc>
      </w:tr>
      <w:tr>
        <w:tc>
          <w:tcPr>
            <w:tcW w:type="dxa" w:w="1440"/>
            <w:tcMar>
              <w:top w:w="100" w:type="dxa"/>
              <w:start w:w="120" w:type="dxa"/>
              <w:bottom w:w="100" w:type="dxa"/>
              <w:end w:w="120" w:type="dxa"/>
            </w:tcMar>
            <w:vAlign w:val="center"/>
          </w:tcPr>
          <w:p>
            <w:r>
              <w:rPr>
                <w:rFonts w:ascii="Open Sans" w:hAnsi="Open Sans"/>
                <w:b w:val="0"/>
                <w:color w:val="23364D"/>
                <w:sz w:val="17"/>
              </w:rPr>
              <w:t>0:50-1:18</w:t>
            </w:r>
          </w:p>
        </w:tc>
        <w:tc>
          <w:tcPr>
            <w:tcW w:type="dxa" w:w="1944"/>
            <w:tcMar>
              <w:top w:w="100" w:type="dxa"/>
              <w:start w:w="120" w:type="dxa"/>
              <w:bottom w:w="100" w:type="dxa"/>
              <w:end w:w="120" w:type="dxa"/>
            </w:tcMar>
            <w:vAlign w:val="center"/>
          </w:tcPr>
          <w:p>
            <w:r>
              <w:rPr>
                <w:rFonts w:ascii="Open Sans" w:hAnsi="Open Sans"/>
                <w:b/>
                <w:color w:val="1D4289"/>
                <w:sz w:val="17"/>
              </w:rPr>
              <w:t>WHOLE OPPORTUNITY</w:t>
            </w:r>
          </w:p>
        </w:tc>
        <w:tc>
          <w:tcPr>
            <w:tcW w:type="dxa" w:w="6696"/>
            <w:tcMar>
              <w:top w:w="100" w:type="dxa"/>
              <w:start w:w="120" w:type="dxa"/>
              <w:bottom w:w="100" w:type="dxa"/>
              <w:end w:w="120" w:type="dxa"/>
            </w:tcMar>
            <w:vAlign w:val="center"/>
          </w:tcPr>
          <w:p>
            <w:r>
              <w:rPr>
                <w:rFonts w:ascii="Open Sans" w:hAnsi="Open Sans"/>
                <w:b w:val="0"/>
                <w:color w:val="23364D"/>
                <w:sz w:val="17"/>
              </w:rPr>
              <w:t>Use explanatory cards with complete ideas: skills learned; advancement; total value beyond wage; fit with schedule/transportation/requirements. Use relevant workplace images between cards.</w:t>
            </w:r>
          </w:p>
        </w:tc>
      </w:tr>
      <w:tr>
        <w:tc>
          <w:tcPr>
            <w:tcW w:type="dxa" w:w="1440"/>
            <w:tcMar>
              <w:top w:w="100" w:type="dxa"/>
              <w:start w:w="120" w:type="dxa"/>
              <w:bottom w:w="100" w:type="dxa"/>
              <w:end w:w="120" w:type="dxa"/>
            </w:tcMar>
            <w:vAlign w:val="center"/>
          </w:tcPr>
          <w:p>
            <w:r>
              <w:rPr>
                <w:rFonts w:ascii="Open Sans" w:hAnsi="Open Sans"/>
                <w:b w:val="0"/>
                <w:color w:val="23364D"/>
                <w:sz w:val="17"/>
              </w:rPr>
              <w:t>1:18-1:40</w:t>
            </w:r>
          </w:p>
        </w:tc>
        <w:tc>
          <w:tcPr>
            <w:tcW w:type="dxa" w:w="1944"/>
            <w:tcMar>
              <w:top w:w="100" w:type="dxa"/>
              <w:start w:w="120" w:type="dxa"/>
              <w:bottom w:w="100" w:type="dxa"/>
              <w:end w:w="120" w:type="dxa"/>
            </w:tcMar>
            <w:vAlign w:val="center"/>
          </w:tcPr>
          <w:p>
            <w:r>
              <w:rPr>
                <w:rFonts w:ascii="Open Sans" w:hAnsi="Open Sans"/>
                <w:b/>
                <w:color w:val="1D4289"/>
                <w:sz w:val="17"/>
              </w:rPr>
              <w:t>CHECK THE FIT</w:t>
            </w:r>
          </w:p>
        </w:tc>
        <w:tc>
          <w:tcPr>
            <w:tcW w:type="dxa" w:w="6696"/>
            <w:tcMar>
              <w:top w:w="100" w:type="dxa"/>
              <w:start w:w="120" w:type="dxa"/>
              <w:bottom w:w="100" w:type="dxa"/>
              <w:end w:w="120" w:type="dxa"/>
            </w:tcMar>
            <w:vAlign w:val="center"/>
          </w:tcPr>
          <w:p>
            <w:r>
              <w:rPr>
                <w:rFonts w:ascii="Open Sans" w:hAnsi="Open Sans"/>
                <w:b w:val="0"/>
                <w:color w:val="23364D"/>
                <w:sz w:val="17"/>
              </w:rPr>
              <w:t>Student reviewing a job posting or discussing expectations with a supervisor/counselor. Emphasize schedule, transportation, requirements, attendance, safety, communication.</w:t>
            </w:r>
          </w:p>
        </w:tc>
      </w:tr>
      <w:tr>
        <w:tc>
          <w:tcPr>
            <w:tcW w:type="dxa" w:w="1440"/>
            <w:tcMar>
              <w:top w:w="100" w:type="dxa"/>
              <w:start w:w="120" w:type="dxa"/>
              <w:bottom w:w="100" w:type="dxa"/>
              <w:end w:w="120" w:type="dxa"/>
            </w:tcMar>
            <w:vAlign w:val="center"/>
          </w:tcPr>
          <w:p>
            <w:r>
              <w:rPr>
                <w:rFonts w:ascii="Open Sans" w:hAnsi="Open Sans"/>
                <w:b w:val="0"/>
                <w:color w:val="23364D"/>
                <w:sz w:val="17"/>
              </w:rPr>
              <w:t>1:40-2:02</w:t>
            </w:r>
          </w:p>
        </w:tc>
        <w:tc>
          <w:tcPr>
            <w:tcW w:type="dxa" w:w="1944"/>
            <w:tcMar>
              <w:top w:w="100" w:type="dxa"/>
              <w:start w:w="120" w:type="dxa"/>
              <w:bottom w:w="100" w:type="dxa"/>
              <w:end w:w="120" w:type="dxa"/>
            </w:tcMar>
            <w:vAlign w:val="center"/>
          </w:tcPr>
          <w:p>
            <w:r>
              <w:rPr>
                <w:rFonts w:ascii="Open Sans" w:hAnsi="Open Sans"/>
                <w:b/>
                <w:color w:val="1D4289"/>
                <w:sz w:val="17"/>
              </w:rPr>
              <w:t>PREPARE TO COMPETE</w:t>
            </w:r>
          </w:p>
        </w:tc>
        <w:tc>
          <w:tcPr>
            <w:tcW w:type="dxa" w:w="6696"/>
            <w:tcMar>
              <w:top w:w="100" w:type="dxa"/>
              <w:start w:w="120" w:type="dxa"/>
              <w:bottom w:w="100" w:type="dxa"/>
              <w:end w:w="120" w:type="dxa"/>
            </w:tcMar>
            <w:vAlign w:val="center"/>
          </w:tcPr>
          <w:p>
            <w:r>
              <w:rPr>
                <w:rFonts w:ascii="Open Sans" w:hAnsi="Open Sans"/>
                <w:b w:val="0"/>
                <w:color w:val="23364D"/>
                <w:sz w:val="17"/>
              </w:rPr>
              <w:t>Resume preparation, interview practice, references, professional follow-up. Use authentic job-search scenes.</w:t>
            </w:r>
          </w:p>
        </w:tc>
      </w:tr>
      <w:tr>
        <w:tc>
          <w:tcPr>
            <w:tcW w:type="dxa" w:w="1440"/>
            <w:tcMar>
              <w:top w:w="100" w:type="dxa"/>
              <w:start w:w="120" w:type="dxa"/>
              <w:bottom w:w="100" w:type="dxa"/>
              <w:end w:w="120" w:type="dxa"/>
            </w:tcMar>
            <w:vAlign w:val="center"/>
          </w:tcPr>
          <w:p>
            <w:r>
              <w:rPr>
                <w:rFonts w:ascii="Open Sans" w:hAnsi="Open Sans"/>
                <w:b w:val="0"/>
                <w:color w:val="23364D"/>
                <w:sz w:val="17"/>
              </w:rPr>
              <w:t>2:02-2:20</w:t>
            </w:r>
          </w:p>
        </w:tc>
        <w:tc>
          <w:tcPr>
            <w:tcW w:type="dxa" w:w="1944"/>
            <w:tcMar>
              <w:top w:w="100" w:type="dxa"/>
              <w:start w:w="120" w:type="dxa"/>
              <w:bottom w:w="100" w:type="dxa"/>
              <w:end w:w="120" w:type="dxa"/>
            </w:tcMar>
            <w:vAlign w:val="center"/>
          </w:tcPr>
          <w:p>
            <w:r>
              <w:rPr>
                <w:rFonts w:ascii="Open Sans" w:hAnsi="Open Sans"/>
                <w:b/>
                <w:color w:val="1D4289"/>
                <w:sz w:val="17"/>
              </w:rPr>
              <w:t>DELAWARE JOBLINK</w:t>
            </w:r>
          </w:p>
        </w:tc>
        <w:tc>
          <w:tcPr>
            <w:tcW w:type="dxa" w:w="6696"/>
            <w:tcMar>
              <w:top w:w="100" w:type="dxa"/>
              <w:start w:w="120" w:type="dxa"/>
              <w:bottom w:w="100" w:type="dxa"/>
              <w:end w:w="120" w:type="dxa"/>
            </w:tcMar>
            <w:vAlign w:val="center"/>
          </w:tcPr>
          <w:p>
            <w:r>
              <w:rPr>
                <w:rFonts w:ascii="Open Sans" w:hAnsi="Open Sans"/>
                <w:b w:val="0"/>
                <w:color w:val="23364D"/>
                <w:sz w:val="17"/>
              </w:rPr>
              <w:t>Simple clean resource card: Search jobs | Build a resume | Explore occupations | Find job fairs/workshops | Connect with career counselors.</w:t>
            </w:r>
          </w:p>
        </w:tc>
      </w:tr>
      <w:tr>
        <w:tc>
          <w:tcPr>
            <w:tcW w:type="dxa" w:w="1440"/>
            <w:tcMar>
              <w:top w:w="100" w:type="dxa"/>
              <w:start w:w="120" w:type="dxa"/>
              <w:bottom w:w="100" w:type="dxa"/>
              <w:end w:w="120" w:type="dxa"/>
            </w:tcMar>
            <w:vAlign w:val="center"/>
          </w:tcPr>
          <w:p>
            <w:r>
              <w:rPr>
                <w:rFonts w:ascii="Open Sans" w:hAnsi="Open Sans"/>
                <w:b w:val="0"/>
                <w:color w:val="23364D"/>
                <w:sz w:val="17"/>
              </w:rPr>
              <w:t>2:20-2:35</w:t>
            </w:r>
          </w:p>
        </w:tc>
        <w:tc>
          <w:tcPr>
            <w:tcW w:type="dxa" w:w="1944"/>
            <w:tcMar>
              <w:top w:w="100" w:type="dxa"/>
              <w:start w:w="120" w:type="dxa"/>
              <w:bottom w:w="100" w:type="dxa"/>
              <w:end w:w="120" w:type="dxa"/>
            </w:tcMar>
            <w:vAlign w:val="center"/>
          </w:tcPr>
          <w:p>
            <w:r>
              <w:rPr>
                <w:rFonts w:ascii="Open Sans" w:hAnsi="Open Sans"/>
                <w:b/>
                <w:color w:val="1D4289"/>
                <w:sz w:val="17"/>
              </w:rPr>
              <w:t>COUNSELOR ROLE</w:t>
            </w:r>
          </w:p>
        </w:tc>
        <w:tc>
          <w:tcPr>
            <w:tcW w:type="dxa" w:w="6696"/>
            <w:tcMar>
              <w:top w:w="100" w:type="dxa"/>
              <w:start w:w="120" w:type="dxa"/>
              <w:bottom w:w="100" w:type="dxa"/>
              <w:end w:w="120" w:type="dxa"/>
            </w:tcMar>
            <w:vAlign w:val="center"/>
          </w:tcPr>
          <w:p>
            <w:r>
              <w:rPr>
                <w:rFonts w:ascii="Open Sans" w:hAnsi="Open Sans"/>
                <w:b w:val="0"/>
                <w:color w:val="23364D"/>
                <w:sz w:val="17"/>
              </w:rPr>
              <w:t>Large question card: WHAT WILL THIS OPPORTUNITY HELP ME LEARN, EARN, AND BECOME READY FOR NEXT?</w:t>
            </w:r>
          </w:p>
        </w:tc>
      </w:tr>
      <w:tr>
        <w:tc>
          <w:tcPr>
            <w:tcW w:type="dxa" w:w="1440"/>
            <w:tcMar>
              <w:top w:w="100" w:type="dxa"/>
              <w:start w:w="120" w:type="dxa"/>
              <w:bottom w:w="100" w:type="dxa"/>
              <w:end w:w="120" w:type="dxa"/>
            </w:tcMar>
            <w:vAlign w:val="center"/>
          </w:tcPr>
          <w:p>
            <w:r>
              <w:rPr>
                <w:rFonts w:ascii="Open Sans" w:hAnsi="Open Sans"/>
                <w:b w:val="0"/>
                <w:color w:val="23364D"/>
                <w:sz w:val="17"/>
              </w:rPr>
              <w:t>2:35-2:44</w:t>
            </w:r>
          </w:p>
        </w:tc>
        <w:tc>
          <w:tcPr>
            <w:tcW w:type="dxa" w:w="1944"/>
            <w:tcMar>
              <w:top w:w="100" w:type="dxa"/>
              <w:start w:w="120" w:type="dxa"/>
              <w:bottom w:w="100" w:type="dxa"/>
              <w:end w:w="120" w:type="dxa"/>
            </w:tcMar>
            <w:vAlign w:val="center"/>
          </w:tcPr>
          <w:p>
            <w:r>
              <w:rPr>
                <w:rFonts w:ascii="Open Sans" w:hAnsi="Open Sans"/>
                <w:b/>
                <w:color w:val="1D4289"/>
                <w:sz w:val="17"/>
              </w:rPr>
              <w:t>YOUR NEXT MOVE</w:t>
            </w:r>
          </w:p>
        </w:tc>
        <w:tc>
          <w:tcPr>
            <w:tcW w:type="dxa" w:w="6696"/>
            <w:tcMar>
              <w:top w:w="100" w:type="dxa"/>
              <w:start w:w="120" w:type="dxa"/>
              <w:bottom w:w="100" w:type="dxa"/>
              <w:end w:w="120" w:type="dxa"/>
            </w:tcMar>
            <w:vAlign w:val="center"/>
          </w:tcPr>
          <w:p>
            <w:r>
              <w:rPr>
                <w:rFonts w:ascii="Open Sans" w:hAnsi="Open Sans"/>
                <w:b w:val="0"/>
                <w:color w:val="23364D"/>
                <w:sz w:val="17"/>
              </w:rPr>
              <w:t>Strengths -&gt; compare -&gt; prepare -&gt; one concrete action.</w:t>
            </w:r>
          </w:p>
        </w:tc>
      </w:tr>
      <w:tr>
        <w:tc>
          <w:tcPr>
            <w:tcW w:type="dxa" w:w="1440"/>
            <w:tcMar>
              <w:top w:w="100" w:type="dxa"/>
              <w:start w:w="120" w:type="dxa"/>
              <w:bottom w:w="100" w:type="dxa"/>
              <w:end w:w="120" w:type="dxa"/>
            </w:tcMar>
            <w:vAlign w:val="center"/>
          </w:tcPr>
          <w:p>
            <w:r>
              <w:rPr>
                <w:rFonts w:ascii="Open Sans" w:hAnsi="Open Sans"/>
                <w:b w:val="0"/>
                <w:color w:val="23364D"/>
                <w:sz w:val="17"/>
              </w:rPr>
              <w:t>2:44-2:50</w:t>
            </w:r>
          </w:p>
        </w:tc>
        <w:tc>
          <w:tcPr>
            <w:tcW w:type="dxa" w:w="1944"/>
            <w:tcMar>
              <w:top w:w="100" w:type="dxa"/>
              <w:start w:w="120" w:type="dxa"/>
              <w:bottom w:w="100" w:type="dxa"/>
              <w:end w:w="120" w:type="dxa"/>
            </w:tcMar>
            <w:vAlign w:val="center"/>
          </w:tcPr>
          <w:p>
            <w:r>
              <w:rPr>
                <w:rFonts w:ascii="Open Sans" w:hAnsi="Open Sans"/>
                <w:b/>
                <w:color w:val="1D4289"/>
                <w:sz w:val="17"/>
              </w:rPr>
              <w:t>KEEP EXPLORING / SIGN-OFF</w:t>
            </w:r>
          </w:p>
        </w:tc>
        <w:tc>
          <w:tcPr>
            <w:tcW w:type="dxa" w:w="6696"/>
            <w:tcMar>
              <w:top w:w="100" w:type="dxa"/>
              <w:start w:w="120" w:type="dxa"/>
              <w:bottom w:w="100" w:type="dxa"/>
              <w:end w:w="120" w:type="dxa"/>
            </w:tcMar>
            <w:vAlign w:val="center"/>
          </w:tcPr>
          <w:p>
            <w:r>
              <w:rPr>
                <w:rFonts w:ascii="Open Sans" w:hAnsi="Open Sans"/>
                <w:b w:val="0"/>
                <w:color w:val="23364D"/>
                <w:sz w:val="17"/>
              </w:rPr>
              <w:t>Delaware JobLink | Delaware American Job Centers | Delaware Student Success. Then Launch logo + common sign-off.</w:t>
            </w:r>
          </w:p>
        </w:tc>
      </w:tr>
    </w:tbl>
    <w:p>
      <w:r>
        <w:br w:type="page"/>
      </w:r>
    </w:p>
    <w:p>
      <w:pPr>
        <w:spacing w:after="60"/>
        <w:jc w:val="right"/>
      </w:pPr>
      <w:r>
        <w:rPr>
          <w:rFonts w:ascii="Open Sans" w:hAnsi="Open Sans"/>
          <w:b/>
          <w:color w:val="1D4289"/>
          <w:sz w:val="17"/>
        </w:rPr>
        <w:t>LAUNCH INTO YOUR FUTURE  |  COUNSELOR QUICK GUIDE 10</w:t>
      </w:r>
    </w:p>
    <w:p>
      <w:pPr>
        <w:spacing w:before="180" w:after="100"/>
      </w:pPr>
      <w:r>
        <w:rPr>
          <w:rFonts w:ascii="Open Sans" w:hAnsi="Open Sans"/>
          <w:b/>
          <w:color w:val="1D4289"/>
          <w:sz w:val="34"/>
        </w:rPr>
        <w:t>Production rules that reduce manual editing</w:t>
      </w:r>
    </w:p>
    <w:p>
      <w:pPr>
        <w:pStyle w:val="ListBullet"/>
        <w:spacing w:after="60"/>
        <w:ind w:left="288"/>
      </w:pPr>
      <w:r>
        <w:rPr>
          <w:rFonts w:ascii="Open Sans" w:hAnsi="Open Sans"/>
          <w:color w:val="23364D"/>
          <w:sz w:val="21"/>
        </w:rPr>
        <w:t>Copilot is responsible for narration, timing, captions, simple text cards, and placeholder media. Final art direction will be completed in Clipchamp.</w:t>
      </w:r>
    </w:p>
    <w:p>
      <w:pPr>
        <w:pStyle w:val="ListBullet"/>
        <w:spacing w:after="60"/>
        <w:ind w:left="288"/>
      </w:pPr>
      <w:r>
        <w:rPr>
          <w:rFonts w:ascii="Open Sans" w:hAnsi="Open Sans"/>
          <w:color w:val="23364D"/>
          <w:sz w:val="21"/>
        </w:rPr>
        <w:t>Use standard Microsoft stock video, stock photography, plain text, and basic text cards so the project remains editable in Clipchamp.</w:t>
      </w:r>
    </w:p>
    <w:p>
      <w:pPr>
        <w:pStyle w:val="ListBullet"/>
        <w:spacing w:after="60"/>
        <w:ind w:left="288"/>
      </w:pPr>
      <w:r>
        <w:rPr>
          <w:rFonts w:ascii="Open Sans" w:hAnsi="Open Sans"/>
          <w:color w:val="23364D"/>
          <w:sz w:val="21"/>
        </w:rPr>
        <w:t>If a relevant stock visual is not readily available, use a clean text card rather than unrelated footage.</w:t>
      </w:r>
    </w:p>
    <w:p>
      <w:pPr>
        <w:pStyle w:val="ListBullet"/>
        <w:spacing w:after="60"/>
        <w:ind w:left="288"/>
      </w:pPr>
      <w:r>
        <w:rPr>
          <w:rFonts w:ascii="Open Sans" w:hAnsi="Open Sans"/>
          <w:color w:val="23364D"/>
          <w:sz w:val="21"/>
        </w:rPr>
        <w:t>Use horizontal medium or medium-wide footage. Keep complete heads visible with natural headroom. Do not zoom a poor crop to fill 16:9.</w:t>
      </w:r>
    </w:p>
    <w:p>
      <w:pPr>
        <w:pStyle w:val="ListBullet"/>
        <w:spacing w:after="60"/>
        <w:ind w:left="288"/>
      </w:pPr>
      <w:r>
        <w:rPr>
          <w:rFonts w:ascii="Open Sans" w:hAnsi="Open Sans"/>
          <w:color w:val="23364D"/>
          <w:sz w:val="21"/>
        </w:rPr>
        <w:t>Every on-screen list must explain the idea. Do not use unexplained single-word cards such as WAGE | SKILLS | FIT | FUTURE.</w:t>
      </w:r>
    </w:p>
    <w:p>
      <w:pPr>
        <w:pStyle w:val="ListBullet"/>
        <w:spacing w:after="60"/>
        <w:ind w:left="288"/>
      </w:pPr>
      <w:r>
        <w:rPr>
          <w:rFonts w:ascii="Open Sans" w:hAnsi="Open Sans"/>
          <w:color w:val="23364D"/>
          <w:sz w:val="21"/>
        </w:rPr>
        <w:t>Do not portray direct-to-work students as students who “could not” pursue education. Employment is presented as an intentional pathway that can continue to connect with education and training later.</w:t>
      </w:r>
    </w:p>
    <w:p>
      <w:pPr>
        <w:pStyle w:val="ListBullet"/>
        <w:spacing w:after="60"/>
        <w:ind w:left="288"/>
      </w:pPr>
      <w:r>
        <w:rPr>
          <w:rFonts w:ascii="Open Sans" w:hAnsi="Open Sans"/>
          <w:color w:val="23364D"/>
          <w:sz w:val="21"/>
        </w:rPr>
        <w:t>Do not imply that a higher wage automatically makes one job better. Help students evaluate the whole opportunity.</w:t>
      </w:r>
    </w:p>
    <w:p>
      <w:pPr>
        <w:pStyle w:val="ListBullet"/>
        <w:spacing w:after="60"/>
        <w:ind w:left="288"/>
      </w:pPr>
      <w:r>
        <w:rPr>
          <w:rFonts w:ascii="Open Sans" w:hAnsi="Open Sans"/>
          <w:color w:val="23364D"/>
          <w:sz w:val="21"/>
        </w:rPr>
        <w:t>Do not promise advancement, benefits, tuition assistance, credentials, or training. Students should verify employer-specific details.</w:t>
      </w:r>
    </w:p>
    <w:p>
      <w:pPr>
        <w:pStyle w:val="ListBullet"/>
        <w:spacing w:after="60"/>
        <w:ind w:left="288"/>
      </w:pPr>
      <w:r>
        <w:rPr>
          <w:rFonts w:ascii="Open Sans" w:hAnsi="Open Sans"/>
          <w:color w:val="23364D"/>
          <w:sz w:val="21"/>
        </w:rPr>
        <w:t>Do not reproduce real employer branding unless the source asset is standard licensed media and accurate. Generic workplaces are acceptable placeholders.</w:t>
      </w:r>
    </w:p>
    <w:p>
      <w:pPr>
        <w:spacing w:before="180" w:after="100"/>
      </w:pPr>
      <w:r>
        <w:rPr>
          <w:rFonts w:ascii="Open Sans" w:hAnsi="Open Sans"/>
          <w:b/>
          <w:color w:val="00B0B9"/>
          <w:sz w:val="26"/>
        </w:rPr>
        <w:t>Clipchamp compatibility</w:t>
      </w:r>
    </w:p>
    <w:p>
      <w:pPr>
        <w:spacing w:after="120" w:line="259" w:lineRule="auto"/>
      </w:pPr>
      <w:r>
        <w:rPr>
          <w:rFonts w:ascii="Open Sans" w:hAnsi="Open Sans"/>
          <w:b w:val="0"/>
          <w:color w:val="23364D"/>
          <w:sz w:val="21"/>
        </w:rPr>
        <w:t>Use standard Microsoft stock media, plain text, and basic text cards suitable for continued editing in Microsoft Clipchamp. Avoid building the first cut around specialized generated assets that may not remain available in the editable project.</w:t>
      </w:r>
    </w:p>
    <w:p>
      <w:pPr>
        <w:spacing w:before="180" w:after="100"/>
      </w:pPr>
      <w:r>
        <w:rPr>
          <w:rFonts w:ascii="Open Sans" w:hAnsi="Open Sans"/>
          <w:b/>
          <w:color w:val="00B0B9"/>
          <w:sz w:val="26"/>
        </w:rPr>
        <w:t>Standard ending</w:t>
      </w:r>
    </w:p>
    <w:p>
      <w:pPr>
        <w:spacing w:after="140" w:line="259" w:lineRule="auto"/>
      </w:pPr>
      <w:r>
        <w:rPr>
          <w:rFonts w:ascii="Open Sans" w:hAnsi="Open Sans"/>
          <w:b/>
          <w:color w:val="00B0B9"/>
          <w:sz w:val="21"/>
        </w:rPr>
        <w:t xml:space="preserve">YOUR NEXT MOVE </w:t>
      </w:r>
      <w:r>
        <w:rPr>
          <w:rFonts w:ascii="Open Sans" w:hAnsi="Open Sans"/>
          <w:color w:val="23364D"/>
          <w:sz w:val="21"/>
        </w:rPr>
        <w:t>Identify strengths -&gt; compare the whole opportunity -&gt; prepare -&gt; choose one concrete action.</w:t>
      </w:r>
    </w:p>
    <w:p>
      <w:pPr>
        <w:spacing w:after="140" w:line="259" w:lineRule="auto"/>
      </w:pPr>
      <w:r>
        <w:rPr>
          <w:rFonts w:ascii="Open Sans" w:hAnsi="Open Sans"/>
          <w:b/>
          <w:color w:val="00B0B9"/>
          <w:sz w:val="21"/>
        </w:rPr>
        <w:t xml:space="preserve">KEEP EXPLORING </w:t>
      </w:r>
      <w:r>
        <w:rPr>
          <w:rFonts w:ascii="Open Sans" w:hAnsi="Open Sans"/>
          <w:color w:val="23364D"/>
          <w:sz w:val="21"/>
        </w:rPr>
        <w:t>Delaware JobLink | Delaware American Job Centers | Delaware Student Success career resources</w:t>
      </w:r>
    </w:p>
    <w:p>
      <w:pPr>
        <w:spacing w:after="80" w:line="259" w:lineRule="auto"/>
        <w:jc w:val="center"/>
      </w:pPr>
      <w:r>
        <w:rPr>
          <w:rFonts w:ascii="Open Sans" w:hAnsi="Open Sans"/>
          <w:b/>
          <w:color w:val="1D4289"/>
          <w:sz w:val="28"/>
        </w:rPr>
        <w:t>LAUNCH INTO YOUR FUTURE</w:t>
        <w:br/>
        <w:t>Every student. A next step. A way forward.</w:t>
      </w:r>
    </w:p>
    <w:p>
      <w:r>
        <w:br w:type="page"/>
      </w:r>
    </w:p>
    <w:p>
      <w:pPr>
        <w:spacing w:after="60"/>
        <w:jc w:val="right"/>
      </w:pPr>
      <w:r>
        <w:rPr>
          <w:rFonts w:ascii="Open Sans" w:hAnsi="Open Sans"/>
          <w:b/>
          <w:color w:val="1D4289"/>
          <w:sz w:val="17"/>
        </w:rPr>
        <w:t>LAUNCH INTO YOUR FUTURE  |  COUNSELOR QUICK GUIDE 10</w:t>
      </w:r>
    </w:p>
    <w:p>
      <w:pPr>
        <w:spacing w:before="180" w:after="100"/>
      </w:pPr>
      <w:r>
        <w:rPr>
          <w:rFonts w:ascii="Open Sans" w:hAnsi="Open Sans"/>
          <w:b/>
          <w:color w:val="1D4289"/>
          <w:sz w:val="34"/>
        </w:rPr>
        <w:t>Approved resource anchors</w:t>
      </w:r>
    </w:p>
    <w:p>
      <w:pPr>
        <w:spacing w:after="120" w:line="259" w:lineRule="auto"/>
      </w:pPr>
      <w:r>
        <w:rPr>
          <w:rFonts w:ascii="Open Sans" w:hAnsi="Open Sans"/>
          <w:b w:val="0"/>
          <w:color w:val="23364D"/>
          <w:sz w:val="20"/>
        </w:rPr>
        <w:t>Use these for counselor/production fact-checking. Current job postings and employer-specific terms change; verify them at the time of use.</w:t>
      </w:r>
    </w:p>
    <w:p>
      <w:pPr>
        <w:spacing w:after="140" w:line="259" w:lineRule="auto"/>
      </w:pPr>
      <w:r>
        <w:rPr>
          <w:rFonts w:ascii="Open Sans" w:hAnsi="Open Sans"/>
          <w:b/>
          <w:color w:val="00B0B9"/>
          <w:sz w:val="21"/>
        </w:rPr>
        <w:t xml:space="preserve">Delaware JobLink - Job Seeker </w:t>
      </w:r>
      <w:r>
        <w:rPr>
          <w:rFonts w:ascii="Open Sans" w:hAnsi="Open Sans"/>
          <w:color w:val="23364D"/>
          <w:sz w:val="21"/>
        </w:rPr>
        <w:t>Job search, advanced/saved searches, resume wizard, in-demand occupations, on-the-job training and apprenticeship opportunities, career counselors, job fairs, workshops, and training opportunities.</w:t>
      </w:r>
    </w:p>
    <w:p>
      <w:pPr>
        <w:spacing w:after="140" w:line="259" w:lineRule="auto"/>
      </w:pPr>
      <w:r>
        <w:rPr>
          <w:rFonts w:ascii="Open Sans" w:hAnsi="Open Sans"/>
          <w:b/>
          <w:color w:val="00B0B9"/>
          <w:sz w:val="21"/>
        </w:rPr>
        <w:t xml:space="preserve">Delaware JobLink - Job Seeker Services </w:t>
      </w:r>
      <w:r>
        <w:rPr>
          <w:rFonts w:ascii="Open Sans" w:hAnsi="Open Sans"/>
          <w:color w:val="23364D"/>
          <w:sz w:val="21"/>
        </w:rPr>
        <w:t>Resume preparation, job search, job referral/matching, skills assessments, and other employment services.</w:t>
      </w:r>
    </w:p>
    <w:p>
      <w:pPr>
        <w:spacing w:after="140" w:line="259" w:lineRule="auto"/>
      </w:pPr>
      <w:r>
        <w:rPr>
          <w:rFonts w:ascii="Open Sans" w:hAnsi="Open Sans"/>
          <w:b/>
          <w:color w:val="00B0B9"/>
          <w:sz w:val="21"/>
        </w:rPr>
        <w:t xml:space="preserve">Delaware American Job Centers </w:t>
      </w:r>
      <w:r>
        <w:rPr>
          <w:rFonts w:ascii="Open Sans" w:hAnsi="Open Sans"/>
          <w:color w:val="23364D"/>
          <w:sz w:val="21"/>
        </w:rPr>
        <w:t>In-person workforce and career support; linked through Delaware JobLink.</w:t>
      </w:r>
    </w:p>
    <w:p>
      <w:pPr>
        <w:spacing w:after="140" w:line="259" w:lineRule="auto"/>
      </w:pPr>
      <w:r>
        <w:rPr>
          <w:rFonts w:ascii="Open Sans" w:hAnsi="Open Sans"/>
          <w:b/>
          <w:color w:val="00B0B9"/>
          <w:sz w:val="21"/>
        </w:rPr>
        <w:t xml:space="preserve">Delaware Student Success </w:t>
      </w:r>
      <w:r>
        <w:rPr>
          <w:rFonts w:ascii="Open Sans" w:hAnsi="Open Sans"/>
          <w:color w:val="23364D"/>
          <w:sz w:val="21"/>
        </w:rPr>
        <w:t>Use current approved career-planning resources from the Launch source registry when available.</w:t>
      </w:r>
    </w:p>
    <w:p>
      <w:pPr>
        <w:spacing w:before="180" w:after="100"/>
      </w:pPr>
      <w:r>
        <w:rPr>
          <w:rFonts w:ascii="Open Sans" w:hAnsi="Open Sans"/>
          <w:b/>
          <w:color w:val="00B0B9"/>
          <w:sz w:val="26"/>
        </w:rPr>
        <w:t>Factual guardrails</w:t>
      </w:r>
    </w:p>
    <w:p>
      <w:pPr>
        <w:pStyle w:val="ListBullet"/>
        <w:spacing w:after="60"/>
        <w:ind w:left="288"/>
      </w:pPr>
      <w:r>
        <w:rPr>
          <w:rFonts w:ascii="Open Sans" w:hAnsi="Open Sans"/>
          <w:color w:val="23364D"/>
          <w:sz w:val="21"/>
        </w:rPr>
        <w:t>Do not invent current job openings, wages, benefits, schedules, advancement opportunities, hiring requirements, or employer policies.</w:t>
      </w:r>
    </w:p>
    <w:p>
      <w:pPr>
        <w:pStyle w:val="ListBullet"/>
        <w:spacing w:after="60"/>
        <w:ind w:left="288"/>
      </w:pPr>
      <w:r>
        <w:rPr>
          <w:rFonts w:ascii="Open Sans" w:hAnsi="Open Sans"/>
          <w:color w:val="23364D"/>
          <w:sz w:val="21"/>
        </w:rPr>
        <w:t>Do not guarantee that a first job will lead to a particular career outcome.</w:t>
      </w:r>
    </w:p>
    <w:p>
      <w:pPr>
        <w:pStyle w:val="ListBullet"/>
        <w:spacing w:after="60"/>
        <w:ind w:left="288"/>
      </w:pPr>
      <w:r>
        <w:rPr>
          <w:rFonts w:ascii="Open Sans" w:hAnsi="Open Sans"/>
          <w:color w:val="23364D"/>
          <w:sz w:val="21"/>
        </w:rPr>
        <w:t>Do not imply that every employer offers training, tuition assistance, credentials, or benefits.</w:t>
      </w:r>
    </w:p>
    <w:p>
      <w:pPr>
        <w:pStyle w:val="ListBullet"/>
        <w:spacing w:after="60"/>
        <w:ind w:left="288"/>
      </w:pPr>
      <w:r>
        <w:rPr>
          <w:rFonts w:ascii="Open Sans" w:hAnsi="Open Sans"/>
          <w:color w:val="23364D"/>
          <w:sz w:val="21"/>
        </w:rPr>
        <w:t>Delaware JobLink is a job-search and workforce resource; individual employers own the details of their jobs and hiring decisions.</w:t>
      </w:r>
    </w:p>
    <w:p>
      <w:pPr>
        <w:pStyle w:val="ListBullet"/>
        <w:spacing w:after="60"/>
        <w:ind w:left="288"/>
      </w:pPr>
      <w:r>
        <w:rPr>
          <w:rFonts w:ascii="Open Sans" w:hAnsi="Open Sans"/>
          <w:color w:val="23364D"/>
          <w:sz w:val="21"/>
        </w:rPr>
        <w:t>Encourage students to verify job-specific information with the employer and official sources before making decisions.</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Open Sans" w:hAnsi="Open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