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14:paraId="672A6659" wp14:textId="77777777">
      <w:pPr>
        <w:jc w:val="center"/>
      </w:pPr>
      <w:r>
        <w:drawing>
          <wp:inline xmlns:a="http://schemas.openxmlformats.org/drawingml/2006/main" xmlns:pic="http://schemas.openxmlformats.org/drawingml/2006/picture" xmlns:wp14="http://schemas.microsoft.com/office/word/2010/wordprocessingDrawing" wp14:anchorId="2AD18244" wp14:editId="7777777">
            <wp:extent cx="2148840" cy="1023859"/>
            <wp:docPr id="1" name="Picture 1"/>
            <wp:cNvGraphicFramePr>
              <a:graphicFrameLocks noChangeAspect="1"/>
            </wp:cNvGraphicFramePr>
            <a:graphic>
              <a:graphicData uri="http://schemas.openxmlformats.org/drawingml/2006/picture">
                <pic:pic>
                  <pic:nvPicPr>
                    <pic:cNvPr id="0" name="launch_logo(2).png"/>
                    <pic:cNvPicPr/>
                  </pic:nvPicPr>
                  <pic:blipFill>
                    <a:blip r:embed="rId9"/>
                    <a:stretch>
                      <a:fillRect/>
                    </a:stretch>
                  </pic:blipFill>
                  <pic:spPr>
                    <a:xfrm>
                      <a:off x="0" y="0"/>
                      <a:ext cx="2148840" cy="1023859"/>
                    </a:xfrm>
                    <a:prstGeom prst="rect"/>
                  </pic:spPr>
                </pic:pic>
              </a:graphicData>
            </a:graphic>
          </wp:inline>
        </w:drawing>
      </w:r>
    </w:p>
    <w:p xmlns:wp14="http://schemas.microsoft.com/office/word/2010/wordml" w14:paraId="09860A56" wp14:textId="6E91BE5B">
      <w:pPr>
        <w:spacing w:after="60" w:line="259" w:lineRule="auto"/>
        <w:jc w:val="center"/>
      </w:pPr>
      <w:r w:rsidRPr="571A5584" w:rsidR="571A5584">
        <w:rPr>
          <w:rFonts w:ascii="Open Sans" w:hAnsi="Open Sans"/>
          <w:b w:val="1"/>
          <w:bCs w:val="1"/>
          <w:color w:val="1D4289"/>
          <w:sz w:val="18"/>
          <w:szCs w:val="18"/>
        </w:rPr>
        <w:t xml:space="preserve">LAUNCH INTO YOUR </w:t>
      </w:r>
      <w:r w:rsidRPr="571A5584" w:rsidR="571A5584">
        <w:rPr>
          <w:rFonts w:ascii="Open Sans" w:hAnsi="Open Sans"/>
          <w:b w:val="1"/>
          <w:bCs w:val="1"/>
          <w:color w:val="1D4289"/>
          <w:sz w:val="18"/>
          <w:szCs w:val="18"/>
        </w:rPr>
        <w:t>FUTURE  |</w:t>
      </w:r>
      <w:r w:rsidRPr="571A5584" w:rsidR="571A5584">
        <w:rPr>
          <w:rFonts w:ascii="Open Sans" w:hAnsi="Open Sans"/>
          <w:b w:val="1"/>
          <w:bCs w:val="1"/>
          <w:color w:val="1D4289"/>
          <w:sz w:val="18"/>
          <w:szCs w:val="18"/>
        </w:rPr>
        <w:t xml:space="preserve">  COUNSELOR QUICK GUIDE 09</w:t>
      </w:r>
    </w:p>
    <w:p xmlns:wp14="http://schemas.microsoft.com/office/word/2010/wordml" w14:paraId="18A859C8" wp14:textId="77777777">
      <w:pPr>
        <w:spacing w:after="80" w:line="259" w:lineRule="auto"/>
        <w:jc w:val="center"/>
      </w:pPr>
      <w:r>
        <w:rPr>
          <w:rFonts w:ascii="Open Sans" w:hAnsi="Open Sans"/>
          <w:b/>
          <w:color w:val="00B0B9"/>
          <w:sz w:val="24"/>
        </w:rPr>
        <w:t>COPILOT PRODUCTION SOURCE</w:t>
      </w:r>
    </w:p>
    <w:p xmlns:wp14="http://schemas.microsoft.com/office/word/2010/wordml" w14:paraId="7A07FF79" wp14:textId="77777777">
      <w:pPr>
        <w:spacing w:after="60" w:line="259" w:lineRule="auto"/>
        <w:jc w:val="center"/>
      </w:pPr>
      <w:r>
        <w:rPr>
          <w:rFonts w:ascii="Open Sans" w:hAnsi="Open Sans"/>
          <w:b/>
          <w:color w:val="1D4289"/>
          <w:sz w:val="48"/>
        </w:rPr>
        <w:t>Delaware Two-Year &amp; Associate Pathways</w:t>
      </w:r>
    </w:p>
    <w:p xmlns:wp14="http://schemas.microsoft.com/office/word/2010/wordml" w14:paraId="6FF2F045" wp14:textId="77777777">
      <w:pPr>
        <w:spacing w:after="200" w:line="259" w:lineRule="auto"/>
        <w:jc w:val="center"/>
      </w:pPr>
      <w:r>
        <w:rPr>
          <w:rFonts w:ascii="Open Sans" w:hAnsi="Open Sans"/>
          <w:b w:val="0"/>
          <w:color w:val="555555"/>
          <w:sz w:val="22"/>
        </w:rPr>
        <w:t>Delaware Tech as the anchor - plus University of Delaware Flex Pathways and the UD/Beebe nursing pathway</w:t>
      </w:r>
    </w:p>
    <w:tbl>
      <w:tblPr>
        <w:tblW w:w="0" w:type="auto"/>
        <w:jc w:val="center"/>
        <w:tblLayout w:type="fixed"/>
        <w:tblLook w:val="04A0" w:firstRow="1" w:lastRow="0" w:firstColumn="1" w:lastColumn="0" w:noHBand="0" w:noVBand="1"/>
      </w:tblPr>
      <w:tblGrid>
        <w:gridCol w:w="3456"/>
        <w:gridCol w:w="3456"/>
        <w:gridCol w:w="3456"/>
      </w:tblGrid>
      <w:tr xmlns:wp14="http://schemas.microsoft.com/office/word/2010/wordml" w14:paraId="5D1A9A5E" wp14:textId="77777777">
        <w:tc>
          <w:tcPr>
            <w:tcW w:w="3384" w:type="dxa"/>
            <w:shd w:fill="1D4289"/>
            <w:tcMar>
              <w:top w:w="120" w:type="dxa"/>
              <w:start w:w="120" w:type="dxa"/>
              <w:bottom w:w="120" w:type="dxa"/>
              <w:end w:w="120" w:type="dxa"/>
            </w:tcMar>
            <w:vAlign w:val="center"/>
          </w:tcPr>
          <w:p w14:paraId="1E26B276" wp14:textId="77777777">
            <w:pPr>
              <w:jc w:val="center"/>
            </w:pPr>
            <w:r>
              <w:rPr>
                <w:rFonts w:ascii="Open Sans" w:hAnsi="Open Sans"/>
                <w:b/>
                <w:color w:val="FFFFFF"/>
                <w:sz w:val="19"/>
              </w:rPr>
              <w:t>AUDIENCE</w:t>
            </w:r>
            <w:r>
              <w:rPr>
                <w:rFonts w:ascii="Open Sans" w:hAnsi="Open Sans"/>
                <w:b/>
                <w:color w:val="FFFFFF"/>
                <w:sz w:val="19"/>
              </w:rPr>
              <w:br/>
            </w:r>
            <w:r>
              <w:rPr>
                <w:rFonts w:ascii="Open Sans" w:hAnsi="Open Sans"/>
                <w:b/>
                <w:color w:val="FFFFFF"/>
                <w:sz w:val="19"/>
              </w:rPr>
              <w:t>Delaware high school counselors</w:t>
            </w:r>
          </w:p>
        </w:tc>
        <w:tc>
          <w:tcPr>
            <w:tcW w:w="3384" w:type="dxa"/>
            <w:shd w:fill="00B0B9"/>
            <w:tcMar>
              <w:top w:w="120" w:type="dxa"/>
              <w:start w:w="120" w:type="dxa"/>
              <w:bottom w:w="120" w:type="dxa"/>
              <w:end w:w="120" w:type="dxa"/>
            </w:tcMar>
            <w:vAlign w:val="center"/>
          </w:tcPr>
          <w:p w14:paraId="7CBDC682" wp14:textId="77777777">
            <w:pPr>
              <w:jc w:val="center"/>
            </w:pPr>
            <w:r>
              <w:rPr>
                <w:rFonts w:ascii="Open Sans" w:hAnsi="Open Sans"/>
                <w:b/>
                <w:color w:val="FFFFFF"/>
                <w:sz w:val="19"/>
              </w:rPr>
              <w:t>TARGET</w:t>
            </w:r>
            <w:r>
              <w:rPr>
                <w:rFonts w:ascii="Open Sans" w:hAnsi="Open Sans"/>
                <w:b/>
                <w:color w:val="FFFFFF"/>
                <w:sz w:val="19"/>
              </w:rPr>
              <w:br/>
            </w:r>
            <w:r>
              <w:rPr>
                <w:rFonts w:ascii="Open Sans" w:hAnsi="Open Sans"/>
                <w:b/>
                <w:color w:val="FFFFFF"/>
                <w:sz w:val="19"/>
              </w:rPr>
              <w:t>2:30-2:50</w:t>
            </w:r>
          </w:p>
        </w:tc>
        <w:tc>
          <w:tcPr>
            <w:tcW w:w="3384" w:type="dxa"/>
            <w:shd w:fill="FF6720"/>
            <w:tcMar>
              <w:top w:w="120" w:type="dxa"/>
              <w:start w:w="120" w:type="dxa"/>
              <w:bottom w:w="120" w:type="dxa"/>
              <w:end w:w="120" w:type="dxa"/>
            </w:tcMar>
            <w:vAlign w:val="center"/>
          </w:tcPr>
          <w:p w14:paraId="3728197B" wp14:textId="77777777">
            <w:pPr>
              <w:jc w:val="center"/>
            </w:pPr>
            <w:r>
              <w:rPr>
                <w:rFonts w:ascii="Open Sans" w:hAnsi="Open Sans"/>
                <w:b/>
                <w:color w:val="FFFFFF"/>
                <w:sz w:val="19"/>
              </w:rPr>
              <w:t>FORMAT</w:t>
            </w:r>
            <w:r>
              <w:rPr>
                <w:rFonts w:ascii="Open Sans" w:hAnsi="Open Sans"/>
                <w:b/>
                <w:color w:val="FFFFFF"/>
                <w:sz w:val="19"/>
              </w:rPr>
              <w:br/>
            </w:r>
            <w:r>
              <w:rPr>
                <w:rFonts w:ascii="Open Sans" w:hAnsi="Open Sans"/>
                <w:b/>
                <w:color w:val="FFFFFF"/>
                <w:sz w:val="19"/>
              </w:rPr>
              <w:t>16:9 professional microlearning</w:t>
            </w:r>
          </w:p>
        </w:tc>
      </w:tr>
    </w:tbl>
    <w:p xmlns:wp14="http://schemas.microsoft.com/office/word/2010/wordml" w14:paraId="645E5779" wp14:textId="77777777">
      <w:pPr>
        <w:spacing w:before="200" w:after="100"/>
      </w:pPr>
      <w:r>
        <w:rPr>
          <w:rFonts w:ascii="Open Sans" w:hAnsi="Open Sans"/>
          <w:b/>
          <w:color w:val="1D4289"/>
          <w:sz w:val="36"/>
        </w:rPr>
        <w:t>Production intent</w:t>
      </w:r>
    </w:p>
    <w:p xmlns:wp14="http://schemas.microsoft.com/office/word/2010/wordml" w14:paraId="7CD32E6D" wp14:textId="77777777">
      <w:pPr>
        <w:spacing w:after="120" w:line="259" w:lineRule="auto"/>
      </w:pPr>
      <w:r>
        <w:rPr>
          <w:rFonts w:ascii="Open Sans" w:hAnsi="Open Sans"/>
          <w:b w:val="0"/>
          <w:color w:val="222222"/>
          <w:sz w:val="21"/>
        </w:rPr>
        <w:t>This video helps counselors see that Delaware students have more than one strong way to begin with an associate-level or focused postsecondary pathway. Delaware Tech is the primary example because of its statewide two-year college role, but counselors should also recognize University of Delaware associate/Flex Pathways and the UD/Beebe registered nursing pathway. The goal is not to rank options; it is to help students choose the starting point that best fits what they want their first two years after high school to accomplish.</w:t>
      </w:r>
    </w:p>
    <w:p xmlns:wp14="http://schemas.microsoft.com/office/word/2010/wordml" w14:paraId="01E71861" wp14:textId="77777777">
      <w:pPr>
        <w:spacing w:before="200" w:after="100"/>
      </w:pPr>
      <w:r>
        <w:rPr>
          <w:rFonts w:ascii="Open Sans" w:hAnsi="Open Sans"/>
          <w:b/>
          <w:color w:val="00B0B9"/>
          <w:sz w:val="26"/>
        </w:rPr>
        <w:t>Locked series identity</w:t>
      </w:r>
    </w:p>
    <w:p xmlns:wp14="http://schemas.microsoft.com/office/word/2010/wordml" w14:paraId="6E49A45C" wp14:textId="77777777">
      <w:pPr>
        <w:pStyle w:val="ListBullet"/>
        <w:spacing w:after="60"/>
      </w:pPr>
      <w:r>
        <w:rPr>
          <w:rFonts w:ascii="Open Sans" w:hAnsi="Open Sans"/>
          <w:b w:val="0"/>
          <w:color w:val="333333"/>
          <w:sz w:val="21"/>
        </w:rPr>
        <w:t>Use the supplied Launch Into Your Future logo accurately.</w:t>
      </w:r>
    </w:p>
    <w:p xmlns:wp14="http://schemas.microsoft.com/office/word/2010/wordml" w14:paraId="4B127744" wp14:textId="77777777">
      <w:pPr>
        <w:pStyle w:val="ListBullet"/>
        <w:spacing w:after="60"/>
      </w:pPr>
      <w:r>
        <w:rPr>
          <w:rFonts w:ascii="Open Sans" w:hAnsi="Open Sans"/>
          <w:b w:val="0"/>
          <w:color w:val="333333"/>
          <w:sz w:val="21"/>
        </w:rPr>
        <w:t>Use Open Sans and the approved DSS palette: #1D4289 blue, #00B0B9 teal, #FF6720 orange; green and gold selectively.</w:t>
      </w:r>
    </w:p>
    <w:p xmlns:wp14="http://schemas.microsoft.com/office/word/2010/wordml" w14:paraId="7F5F628F" wp14:textId="77777777">
      <w:pPr>
        <w:pStyle w:val="ListBullet"/>
        <w:spacing w:after="60"/>
      </w:pPr>
      <w:r>
        <w:rPr>
          <w:rFonts w:ascii="Open Sans" w:hAnsi="Open Sans"/>
          <w:b w:val="0"/>
          <w:color w:val="333333"/>
          <w:sz w:val="21"/>
        </w:rPr>
        <w:t>Use the established series opening and ending.</w:t>
      </w:r>
    </w:p>
    <w:p xmlns:wp14="http://schemas.microsoft.com/office/word/2010/wordml" w14:paraId="7B3F3CD3" wp14:textId="77777777">
      <w:pPr>
        <w:pStyle w:val="ListBullet"/>
        <w:spacing w:after="60"/>
      </w:pPr>
      <w:r>
        <w:rPr>
          <w:rFonts w:ascii="Open Sans" w:hAnsi="Open Sans"/>
          <w:b w:val="0"/>
          <w:color w:val="333333"/>
          <w:sz w:val="21"/>
        </w:rPr>
        <w:t>Final sign-off: “Launch Into Your Future. Every student. A next step. A way forward.”</w:t>
      </w:r>
    </w:p>
    <w:p xmlns:wp14="http://schemas.microsoft.com/office/word/2010/wordml" w14:paraId="0A37501D" wp14:textId="77777777">
      <w:r>
        <w:br w:type="page"/>
      </w:r>
    </w:p>
    <w:p xmlns:wp14="http://schemas.microsoft.com/office/word/2010/wordml" w14:paraId="198A4615" wp14:textId="77777777">
      <w:pPr>
        <w:spacing w:after="80" w:line="259" w:lineRule="auto"/>
      </w:pPr>
      <w:r>
        <w:rPr>
          <w:rFonts w:ascii="Open Sans" w:hAnsi="Open Sans"/>
          <w:b/>
          <w:color w:val="1D4289"/>
          <w:sz w:val="18"/>
        </w:rPr>
        <w:t>LAUNCH INTO YOUR FUTURE  |  COUNSELOR QUICK GUIDE 10</w:t>
      </w:r>
    </w:p>
    <w:p xmlns:wp14="http://schemas.microsoft.com/office/word/2010/wordml" w14:paraId="106B26F5" wp14:textId="77777777">
      <w:pPr>
        <w:spacing w:before="200" w:after="100"/>
      </w:pPr>
      <w:r>
        <w:rPr>
          <w:rFonts w:ascii="Open Sans" w:hAnsi="Open Sans"/>
          <w:b/>
          <w:color w:val="1D4289"/>
          <w:sz w:val="36"/>
        </w:rPr>
        <w:t>FINAL NARRATION - READ VERBATIM</w:t>
      </w:r>
    </w:p>
    <w:p xmlns:wp14="http://schemas.microsoft.com/office/word/2010/wordml" w14:paraId="7D5582AF" wp14:textId="77777777">
      <w:pPr>
        <w:spacing w:after="160" w:line="259" w:lineRule="auto"/>
      </w:pPr>
      <w:r>
        <w:rPr>
          <w:rFonts w:ascii="Open Sans" w:hAnsi="Open Sans"/>
          <w:b/>
          <w:color w:val="FF6720"/>
          <w:sz w:val="20"/>
        </w:rPr>
        <w:t>Use this narration exactly as written. Do not rewrite, summarize, shorten, expand, or replace it.</w:t>
      </w:r>
    </w:p>
    <w:p xmlns:wp14="http://schemas.microsoft.com/office/word/2010/wordml" w14:paraId="0A5AB0A3" wp14:textId="77777777">
      <w:pPr>
        <w:spacing w:after="140"/>
      </w:pPr>
      <w:r>
        <w:rPr>
          <w:rFonts w:ascii="Open Sans" w:hAnsi="Open Sans"/>
          <w:b/>
          <w:color w:val="00B0B9"/>
          <w:sz w:val="21"/>
        </w:rPr>
        <w:t>OPEN / HOOK</w:t>
      </w:r>
      <w:r>
        <w:rPr>
          <w:rFonts w:ascii="Open Sans" w:hAnsi="Open Sans"/>
          <w:b/>
          <w:color w:val="00B0B9"/>
          <w:sz w:val="21"/>
        </w:rPr>
        <w:br/>
      </w:r>
      <w:r>
        <w:rPr>
          <w:rFonts w:ascii="Open Sans" w:hAnsi="Open Sans"/>
          <w:b w:val="0"/>
          <w:color w:val="222222"/>
          <w:sz w:val="21"/>
        </w:rPr>
        <w:t>When counselors hear “two-year college,” Delaware Tech may be the first option that comes to mind - and for good reason. But Delaware students have more than one way to begin with an associate-level or focused postsecondary pathway. The better question is: what does the student want the first two years after high school to accomplish?</w:t>
      </w:r>
    </w:p>
    <w:p xmlns:wp14="http://schemas.microsoft.com/office/word/2010/wordml" w14:paraId="583095DD" wp14:textId="77777777">
      <w:pPr>
        <w:spacing w:after="140"/>
      </w:pPr>
      <w:r>
        <w:rPr>
          <w:rFonts w:ascii="Open Sans" w:hAnsi="Open Sans"/>
          <w:b/>
          <w:color w:val="00B0B9"/>
          <w:sz w:val="21"/>
        </w:rPr>
        <w:t>DELAWARE TECH - THE ANCHOR</w:t>
      </w:r>
      <w:r>
        <w:rPr>
          <w:rFonts w:ascii="Open Sans" w:hAnsi="Open Sans"/>
          <w:b/>
          <w:color w:val="00B0B9"/>
          <w:sz w:val="21"/>
        </w:rPr>
        <w:br/>
      </w:r>
      <w:r>
        <w:rPr>
          <w:rFonts w:ascii="Open Sans" w:hAnsi="Open Sans"/>
          <w:b w:val="0"/>
          <w:color w:val="222222"/>
          <w:sz w:val="21"/>
        </w:rPr>
        <w:t>For many students, Delaware Technical Community College is a strong launch point. Students can pursue associate degrees and career-focused programs while building toward employment, additional education, or transfer. The transition starts before the first class. After applying and completing readiness, residency, and financial-aid requirements, new students meet with an academic counselor for initial advising. That meeting helps connect the student’s goal to a first-semester plan and course schedule.</w:t>
      </w:r>
    </w:p>
    <w:p xmlns:wp14="http://schemas.microsoft.com/office/word/2010/wordml" w14:paraId="600620F9" wp14:textId="77777777">
      <w:pPr>
        <w:spacing w:after="140"/>
      </w:pPr>
      <w:r>
        <w:rPr>
          <w:rFonts w:ascii="Open Sans" w:hAnsi="Open Sans"/>
          <w:b/>
          <w:color w:val="00B0B9"/>
          <w:sz w:val="21"/>
        </w:rPr>
        <w:t>SUCCESS AFTER ENROLLMENT</w:t>
      </w:r>
      <w:r>
        <w:rPr>
          <w:rFonts w:ascii="Open Sans" w:hAnsi="Open Sans"/>
          <w:b/>
          <w:color w:val="00B0B9"/>
          <w:sz w:val="21"/>
        </w:rPr>
        <w:br/>
      </w:r>
      <w:r>
        <w:rPr>
          <w:rFonts w:ascii="Open Sans" w:hAnsi="Open Sans"/>
          <w:b w:val="0"/>
          <w:color w:val="222222"/>
          <w:sz w:val="21"/>
        </w:rPr>
        <w:t>Once enrolled, Delaware Tech students have access to program advising and supports such as tutoring, financial-aid assistance, career services, accessibility services, and transfer assistance. The counselor message should be positive: using support early is part of a strong college strategy.</w:t>
      </w:r>
    </w:p>
    <w:p xmlns:wp14="http://schemas.microsoft.com/office/word/2010/wordml" w14:paraId="37FC1E6A" wp14:textId="77777777">
      <w:pPr>
        <w:spacing w:after="140"/>
      </w:pPr>
      <w:r>
        <w:rPr>
          <w:rFonts w:ascii="Open Sans" w:hAnsi="Open Sans"/>
          <w:b/>
          <w:color w:val="00B0B9"/>
          <w:sz w:val="21"/>
        </w:rPr>
        <w:t>UNIVERSITY OF DELAWARE OPTIONS</w:t>
      </w:r>
      <w:r>
        <w:rPr>
          <w:rFonts w:ascii="Open Sans" w:hAnsi="Open Sans"/>
          <w:b/>
          <w:color w:val="00B0B9"/>
          <w:sz w:val="21"/>
        </w:rPr>
        <w:br/>
      </w:r>
      <w:r>
        <w:rPr>
          <w:rFonts w:ascii="Open Sans" w:hAnsi="Open Sans"/>
          <w:b w:val="0"/>
          <w:color w:val="222222"/>
          <w:sz w:val="21"/>
        </w:rPr>
        <w:t>Delaware also has University of Delaware associate pathways. UD’s Associate in Arts Program allows students to complete their first two years in Wilmington, Dover, or Georgetown using UD courses taught by UD faculty. Most students then transition to Newark to continue toward a bachelor’s degree. UD’s broader Flex Pathways also include additional associate-degree options, so counselors should look at the current program list rather than assuming every student must begin in Newark.</w:t>
      </w:r>
    </w:p>
    <w:p xmlns:wp14="http://schemas.microsoft.com/office/word/2010/wordml" w14:paraId="0A11A368" wp14:textId="77777777">
      <w:pPr>
        <w:spacing w:after="140"/>
      </w:pPr>
      <w:r>
        <w:rPr>
          <w:rFonts w:ascii="Open Sans" w:hAnsi="Open Sans"/>
          <w:b/>
          <w:color w:val="00B0B9"/>
          <w:sz w:val="21"/>
        </w:rPr>
        <w:t>NURSING - A DIFFERENT MODEL</w:t>
      </w:r>
      <w:r>
        <w:rPr>
          <w:rFonts w:ascii="Open Sans" w:hAnsi="Open Sans"/>
          <w:b/>
          <w:color w:val="00B0B9"/>
          <w:sz w:val="21"/>
        </w:rPr>
        <w:br/>
      </w:r>
      <w:r>
        <w:rPr>
          <w:rFonts w:ascii="Open Sans" w:hAnsi="Open Sans"/>
          <w:b w:val="0"/>
          <w:color w:val="222222"/>
          <w:sz w:val="21"/>
        </w:rPr>
        <w:t>Nursing provides another Delaware example. Through a University of Delaware Flex Pathway, students can combine UD coursework in Dover or Georgetown with nursing education at the Margaret H. Rollins School of Nursing at Beebe Healthcare in Lewes. Students complete an associate-level UD pathway alongside the professional nursing diploma route and prepare for the next step in nursing.</w:t>
      </w:r>
    </w:p>
    <w:p xmlns:wp14="http://schemas.microsoft.com/office/word/2010/wordml" w14:paraId="3A6571BF" wp14:textId="77777777">
      <w:pPr>
        <w:spacing w:after="140"/>
      </w:pPr>
      <w:r>
        <w:rPr>
          <w:rFonts w:ascii="Open Sans" w:hAnsi="Open Sans"/>
          <w:b/>
          <w:color w:val="00B0B9"/>
          <w:sz w:val="21"/>
        </w:rPr>
        <w:t>COUNSELOR LENS</w:t>
      </w:r>
      <w:r>
        <w:rPr>
          <w:rFonts w:ascii="Open Sans" w:hAnsi="Open Sans"/>
          <w:b/>
          <w:color w:val="00B0B9"/>
          <w:sz w:val="21"/>
        </w:rPr>
        <w:br/>
      </w:r>
      <w:r>
        <w:rPr>
          <w:rFonts w:ascii="Open Sans" w:hAnsi="Open Sans"/>
          <w:b w:val="0"/>
          <w:color w:val="222222"/>
          <w:sz w:val="21"/>
        </w:rPr>
        <w:t>So do not start with, “Which two-year college do you want?” Start with the destination. Does the student want career preparation, an associate degree, a lower-cost start toward a bachelor’s degree, nursing preparation, or another specific outcome? Then compare the Delaware pathways that can move that student toward the goal.</w:t>
      </w:r>
    </w:p>
    <w:p xmlns:wp14="http://schemas.microsoft.com/office/word/2010/wordml" w14:paraId="76E83EA0" wp14:textId="77777777">
      <w:pPr>
        <w:spacing w:after="140"/>
      </w:pPr>
      <w:r>
        <w:rPr>
          <w:rFonts w:ascii="Open Sans" w:hAnsi="Open Sans"/>
          <w:b/>
          <w:color w:val="00B0B9"/>
          <w:sz w:val="21"/>
        </w:rPr>
        <w:t>NEXT MOVE / SIGN-OFF</w:t>
      </w:r>
      <w:r>
        <w:rPr>
          <w:rFonts w:ascii="Open Sans" w:hAnsi="Open Sans"/>
          <w:b/>
          <w:color w:val="00B0B9"/>
          <w:sz w:val="21"/>
        </w:rPr>
        <w:br/>
      </w:r>
      <w:r>
        <w:rPr>
          <w:rFonts w:ascii="Open Sans" w:hAnsi="Open Sans"/>
          <w:b w:val="0"/>
          <w:color w:val="222222"/>
          <w:sz w:val="21"/>
        </w:rPr>
        <w:t>Your next move: help the student name the goal first, then explore the Delaware pathway that best supports it. Keep exploring with Delaware Tech, University of Delaware Flex Pathways and Associate in Arts, and the UD/Beebe nursing pathway. Launch Into Your Future. Every student. A next step. A way forward.</w:t>
      </w:r>
    </w:p>
    <w:p xmlns:wp14="http://schemas.microsoft.com/office/word/2010/wordml" w14:paraId="5DAB6C7B" wp14:textId="77777777">
      <w:r>
        <w:br w:type="page"/>
      </w:r>
    </w:p>
    <w:p xmlns:wp14="http://schemas.microsoft.com/office/word/2010/wordml" w14:paraId="5F094654" wp14:textId="17592F5A">
      <w:pPr>
        <w:spacing w:after="80" w:line="259" w:lineRule="auto"/>
      </w:pPr>
      <w:r w:rsidRPr="571A5584" w:rsidR="571A5584">
        <w:rPr>
          <w:rFonts w:ascii="Open Sans" w:hAnsi="Open Sans"/>
          <w:b w:val="1"/>
          <w:bCs w:val="1"/>
          <w:color w:val="1D4289"/>
          <w:sz w:val="18"/>
          <w:szCs w:val="18"/>
        </w:rPr>
        <w:t xml:space="preserve">LAUNCH INTO YOUR </w:t>
      </w:r>
      <w:r w:rsidRPr="571A5584" w:rsidR="571A5584">
        <w:rPr>
          <w:rFonts w:ascii="Open Sans" w:hAnsi="Open Sans"/>
          <w:b w:val="1"/>
          <w:bCs w:val="1"/>
          <w:color w:val="1D4289"/>
          <w:sz w:val="18"/>
          <w:szCs w:val="18"/>
        </w:rPr>
        <w:t>FUTURE  |</w:t>
      </w:r>
      <w:r w:rsidRPr="571A5584" w:rsidR="571A5584">
        <w:rPr>
          <w:rFonts w:ascii="Open Sans" w:hAnsi="Open Sans"/>
          <w:b w:val="1"/>
          <w:bCs w:val="1"/>
          <w:color w:val="1D4289"/>
          <w:sz w:val="18"/>
          <w:szCs w:val="18"/>
        </w:rPr>
        <w:t xml:space="preserve">  COUNSELOR QUICK GUIDE 09</w:t>
      </w:r>
    </w:p>
    <w:p xmlns:wp14="http://schemas.microsoft.com/office/word/2010/wordml" w14:paraId="70A6FF0B" wp14:textId="77777777">
      <w:pPr>
        <w:spacing w:before="200" w:after="100"/>
      </w:pPr>
      <w:r>
        <w:rPr>
          <w:rFonts w:ascii="Open Sans" w:hAnsi="Open Sans"/>
          <w:b/>
          <w:color w:val="1D4289"/>
          <w:sz w:val="36"/>
        </w:rPr>
        <w:t>Directed visual plan - Delaware-specific and easy to edit</w:t>
      </w:r>
    </w:p>
    <w:tbl>
      <w:tblPr>
        <w:tblW w:w="0" w:type="auto"/>
        <w:jc w:val="center"/>
        <w:tblLayout w:type="fixed"/>
        <w:tblLook w:val="04A0" w:firstRow="1" w:lastRow="0" w:firstColumn="1" w:lastColumn="0" w:noHBand="0" w:noVBand="1"/>
      </w:tblPr>
      <w:tblGrid>
        <w:gridCol w:w="3456"/>
        <w:gridCol w:w="3456"/>
        <w:gridCol w:w="3456"/>
      </w:tblGrid>
      <w:tr xmlns:wp14="http://schemas.microsoft.com/office/word/2010/wordml" w14:paraId="0E2913E1" wp14:textId="77777777">
        <w:tc>
          <w:tcPr>
            <w:tcW w:w="3456" w:type="dxa"/>
            <w:shd w:fill="1D4289"/>
            <w:tcMar>
              <w:top w:w="100" w:type="dxa"/>
              <w:start w:w="120" w:type="dxa"/>
              <w:bottom w:w="100" w:type="dxa"/>
              <w:end w:w="120" w:type="dxa"/>
            </w:tcMar>
          </w:tcPr>
          <w:p w14:paraId="04096F97" wp14:textId="77777777">
            <w:r>
              <w:rPr>
                <w:rFonts w:ascii="Open Sans" w:hAnsi="Open Sans"/>
                <w:b/>
                <w:color w:val="FFFFFF"/>
                <w:sz w:val="18"/>
              </w:rPr>
              <w:t>TIME</w:t>
            </w:r>
          </w:p>
        </w:tc>
        <w:tc>
          <w:tcPr>
            <w:tcW w:w="3456" w:type="dxa"/>
            <w:shd w:fill="1D4289"/>
            <w:tcMar>
              <w:top w:w="100" w:type="dxa"/>
              <w:start w:w="120" w:type="dxa"/>
              <w:bottom w:w="100" w:type="dxa"/>
              <w:end w:w="120" w:type="dxa"/>
            </w:tcMar>
          </w:tcPr>
          <w:p w14:paraId="2D74A98F" wp14:textId="77777777">
            <w:r>
              <w:rPr>
                <w:rFonts w:ascii="Open Sans" w:hAnsi="Open Sans"/>
                <w:b/>
                <w:color w:val="FFFFFF"/>
                <w:sz w:val="18"/>
              </w:rPr>
              <w:t>BEAT</w:t>
            </w:r>
          </w:p>
        </w:tc>
        <w:tc>
          <w:tcPr>
            <w:tcW w:w="3456" w:type="dxa"/>
            <w:shd w:fill="1D4289"/>
            <w:tcMar>
              <w:top w:w="100" w:type="dxa"/>
              <w:start w:w="120" w:type="dxa"/>
              <w:bottom w:w="100" w:type="dxa"/>
              <w:end w:w="120" w:type="dxa"/>
            </w:tcMar>
          </w:tcPr>
          <w:p w14:paraId="30EF7662" wp14:textId="77777777">
            <w:r>
              <w:rPr>
                <w:rFonts w:ascii="Open Sans" w:hAnsi="Open Sans"/>
                <w:b/>
                <w:color w:val="FFFFFF"/>
                <w:sz w:val="18"/>
              </w:rPr>
              <w:t>VISUAL DIRECTION</w:t>
            </w:r>
          </w:p>
        </w:tc>
      </w:tr>
      <w:tr xmlns:wp14="http://schemas.microsoft.com/office/word/2010/wordml" w14:paraId="723B599D" wp14:textId="77777777">
        <w:tc>
          <w:tcPr>
            <w:tcW w:w="1296" w:type="dxa"/>
            <w:tcMar>
              <w:top w:w="90" w:type="dxa"/>
              <w:start w:w="100" w:type="dxa"/>
              <w:bottom w:w="90" w:type="dxa"/>
              <w:end w:w="100" w:type="dxa"/>
            </w:tcMar>
            <w:vAlign w:val="center"/>
          </w:tcPr>
          <w:p w14:paraId="6220DCF7" wp14:textId="77777777">
            <w:r>
              <w:rPr>
                <w:rFonts w:ascii="Open Sans" w:hAnsi="Open Sans"/>
                <w:b/>
                <w:color w:val="1D4289"/>
                <w:sz w:val="17"/>
              </w:rPr>
              <w:t>0:00-0:07</w:t>
            </w:r>
          </w:p>
        </w:tc>
        <w:tc>
          <w:tcPr>
            <w:tcW w:w="1800" w:type="dxa"/>
            <w:tcMar>
              <w:top w:w="90" w:type="dxa"/>
              <w:start w:w="100" w:type="dxa"/>
              <w:bottom w:w="90" w:type="dxa"/>
              <w:end w:w="100" w:type="dxa"/>
            </w:tcMar>
            <w:vAlign w:val="center"/>
          </w:tcPr>
          <w:p w14:paraId="653D6320" wp14:textId="77777777">
            <w:r>
              <w:rPr>
                <w:rFonts w:ascii="Open Sans" w:hAnsi="Open Sans"/>
                <w:b/>
                <w:color w:val="1D4289"/>
                <w:sz w:val="17"/>
              </w:rPr>
              <w:t>SERIES OPENER</w:t>
            </w:r>
          </w:p>
        </w:tc>
        <w:tc>
          <w:tcPr>
            <w:tcW w:w="6912" w:type="dxa"/>
            <w:tcMar>
              <w:top w:w="90" w:type="dxa"/>
              <w:start w:w="100" w:type="dxa"/>
              <w:bottom w:w="90" w:type="dxa"/>
              <w:end w:w="100" w:type="dxa"/>
            </w:tcMar>
            <w:vAlign w:val="center"/>
          </w:tcPr>
          <w:p w14:paraId="56037735" wp14:textId="77777777">
            <w:r>
              <w:rPr>
                <w:rFonts w:ascii="Open Sans" w:hAnsi="Open Sans"/>
                <w:b w:val="0"/>
                <w:color w:val="333333"/>
                <w:sz w:val="17"/>
              </w:rPr>
              <w:t>Launch logo + COUNSELOR QUICK GUIDE + DELAWARE TWO-YEAR &amp; ASSOCIATE PATHWAYS + What counselors need to know. Brand graphics only.</w:t>
            </w:r>
          </w:p>
        </w:tc>
      </w:tr>
      <w:tr xmlns:wp14="http://schemas.microsoft.com/office/word/2010/wordml" w14:paraId="0C7B6DD7" wp14:textId="77777777">
        <w:tc>
          <w:tcPr>
            <w:tcW w:w="1296" w:type="dxa"/>
            <w:tcMar>
              <w:top w:w="90" w:type="dxa"/>
              <w:start w:w="100" w:type="dxa"/>
              <w:bottom w:w="90" w:type="dxa"/>
              <w:end w:w="100" w:type="dxa"/>
            </w:tcMar>
            <w:vAlign w:val="center"/>
          </w:tcPr>
          <w:p w14:paraId="370D431B" wp14:textId="77777777">
            <w:r>
              <w:rPr>
                <w:rFonts w:ascii="Open Sans" w:hAnsi="Open Sans"/>
                <w:b/>
                <w:color w:val="1D4289"/>
                <w:sz w:val="17"/>
              </w:rPr>
              <w:t>0:07-0:28</w:t>
            </w:r>
          </w:p>
        </w:tc>
        <w:tc>
          <w:tcPr>
            <w:tcW w:w="1800" w:type="dxa"/>
            <w:tcMar>
              <w:top w:w="90" w:type="dxa"/>
              <w:start w:w="100" w:type="dxa"/>
              <w:bottom w:w="90" w:type="dxa"/>
              <w:end w:w="100" w:type="dxa"/>
            </w:tcMar>
            <w:vAlign w:val="center"/>
          </w:tcPr>
          <w:p w14:paraId="45C5D627" wp14:textId="77777777">
            <w:r>
              <w:rPr>
                <w:rFonts w:ascii="Open Sans" w:hAnsi="Open Sans"/>
                <w:b/>
                <w:color w:val="1D4289"/>
                <w:sz w:val="17"/>
              </w:rPr>
              <w:t>HOOK</w:t>
            </w:r>
          </w:p>
        </w:tc>
        <w:tc>
          <w:tcPr>
            <w:tcW w:w="6912" w:type="dxa"/>
            <w:tcMar>
              <w:top w:w="90" w:type="dxa"/>
              <w:start w:w="100" w:type="dxa"/>
              <w:bottom w:w="90" w:type="dxa"/>
              <w:end w:w="100" w:type="dxa"/>
            </w:tcMar>
            <w:vAlign w:val="center"/>
          </w:tcPr>
          <w:p w14:paraId="7F48B060" wp14:textId="77777777">
            <w:r>
              <w:rPr>
                <w:rFonts w:ascii="Open Sans" w:hAnsi="Open Sans"/>
                <w:b w:val="0"/>
                <w:color w:val="333333"/>
                <w:sz w:val="17"/>
              </w:rPr>
              <w:t>Positive Delaware college-going imagery. Text card: WHAT DO YOU WANT YOUR FIRST TWO YEARS TO ACCOMPLISH?</w:t>
            </w:r>
          </w:p>
        </w:tc>
      </w:tr>
      <w:tr xmlns:wp14="http://schemas.microsoft.com/office/word/2010/wordml" w14:paraId="08289C90" wp14:textId="77777777">
        <w:tc>
          <w:tcPr>
            <w:tcW w:w="1296" w:type="dxa"/>
            <w:tcMar>
              <w:top w:w="90" w:type="dxa"/>
              <w:start w:w="100" w:type="dxa"/>
              <w:bottom w:w="90" w:type="dxa"/>
              <w:end w:w="100" w:type="dxa"/>
            </w:tcMar>
            <w:vAlign w:val="center"/>
          </w:tcPr>
          <w:p w14:paraId="5693B8BD" wp14:textId="77777777">
            <w:r>
              <w:rPr>
                <w:rFonts w:ascii="Open Sans" w:hAnsi="Open Sans"/>
                <w:b/>
                <w:color w:val="1D4289"/>
                <w:sz w:val="17"/>
              </w:rPr>
              <w:t>0:28-1:02</w:t>
            </w:r>
          </w:p>
        </w:tc>
        <w:tc>
          <w:tcPr>
            <w:tcW w:w="1800" w:type="dxa"/>
            <w:tcMar>
              <w:top w:w="90" w:type="dxa"/>
              <w:start w:w="100" w:type="dxa"/>
              <w:bottom w:w="90" w:type="dxa"/>
              <w:end w:w="100" w:type="dxa"/>
            </w:tcMar>
            <w:vAlign w:val="center"/>
          </w:tcPr>
          <w:p w14:paraId="4289A3E4" wp14:textId="77777777">
            <w:r>
              <w:rPr>
                <w:rFonts w:ascii="Open Sans" w:hAnsi="Open Sans"/>
                <w:b/>
                <w:color w:val="1D4289"/>
                <w:sz w:val="17"/>
              </w:rPr>
              <w:t>DELAWARE TECH</w:t>
            </w:r>
          </w:p>
        </w:tc>
        <w:tc>
          <w:tcPr>
            <w:tcW w:w="6912" w:type="dxa"/>
            <w:tcMar>
              <w:top w:w="90" w:type="dxa"/>
              <w:start w:w="100" w:type="dxa"/>
              <w:bottom w:w="90" w:type="dxa"/>
              <w:end w:w="100" w:type="dxa"/>
            </w:tcMar>
            <w:vAlign w:val="center"/>
          </w:tcPr>
          <w:p w14:paraId="2D98A1FA" wp14:textId="77777777">
            <w:r>
              <w:rPr>
                <w:rFonts w:ascii="Open Sans" w:hAnsi="Open Sans"/>
                <w:b w:val="0"/>
                <w:color w:val="333333"/>
                <w:sz w:val="17"/>
              </w:rPr>
              <w:t>Use Delaware Tech as the anchor. Show community-college learning/advising placeholders. Explain: APPLY + COMPLETE REQUIREMENTS -&gt; INITIAL ADVISING -&gt; FIRST-SEMESTER PLAN. Do not imply this exact process applies to every college.</w:t>
            </w:r>
          </w:p>
        </w:tc>
      </w:tr>
      <w:tr xmlns:wp14="http://schemas.microsoft.com/office/word/2010/wordml" w14:paraId="257BF112" wp14:textId="77777777">
        <w:tc>
          <w:tcPr>
            <w:tcW w:w="1296" w:type="dxa"/>
            <w:tcMar>
              <w:top w:w="90" w:type="dxa"/>
              <w:start w:w="100" w:type="dxa"/>
              <w:bottom w:w="90" w:type="dxa"/>
              <w:end w:w="100" w:type="dxa"/>
            </w:tcMar>
            <w:vAlign w:val="center"/>
          </w:tcPr>
          <w:p w14:paraId="5C11FFE7" wp14:textId="77777777">
            <w:r>
              <w:rPr>
                <w:rFonts w:ascii="Open Sans" w:hAnsi="Open Sans"/>
                <w:b/>
                <w:color w:val="1D4289"/>
                <w:sz w:val="17"/>
              </w:rPr>
              <w:t>1:02-1:24</w:t>
            </w:r>
          </w:p>
        </w:tc>
        <w:tc>
          <w:tcPr>
            <w:tcW w:w="1800" w:type="dxa"/>
            <w:tcMar>
              <w:top w:w="90" w:type="dxa"/>
              <w:start w:w="100" w:type="dxa"/>
              <w:bottom w:w="90" w:type="dxa"/>
              <w:end w:w="100" w:type="dxa"/>
            </w:tcMar>
            <w:vAlign w:val="center"/>
          </w:tcPr>
          <w:p w14:paraId="0F7B8F04" wp14:textId="77777777">
            <w:r>
              <w:rPr>
                <w:rFonts w:ascii="Open Sans" w:hAnsi="Open Sans"/>
                <w:b/>
                <w:color w:val="1D4289"/>
                <w:sz w:val="17"/>
              </w:rPr>
              <w:t>SUCCESS SUPPORT</w:t>
            </w:r>
          </w:p>
        </w:tc>
        <w:tc>
          <w:tcPr>
            <w:tcW w:w="6912" w:type="dxa"/>
            <w:tcMar>
              <w:top w:w="90" w:type="dxa"/>
              <w:start w:w="100" w:type="dxa"/>
              <w:bottom w:w="90" w:type="dxa"/>
              <w:end w:w="100" w:type="dxa"/>
            </w:tcMar>
            <w:vAlign w:val="center"/>
          </w:tcPr>
          <w:p w14:paraId="5D214D76" wp14:textId="77777777">
            <w:r>
              <w:rPr>
                <w:rFonts w:ascii="Open Sans" w:hAnsi="Open Sans"/>
                <w:b w:val="0"/>
                <w:color w:val="333333"/>
                <w:sz w:val="17"/>
              </w:rPr>
              <w:t>Text/visual sequence with full explanations: Advising plans the program and courses; tutoring adds academic support; financial aid staff help resolve aid questions; career services connects education to employment; accessibility and transfer supports help students continue forward.</w:t>
            </w:r>
          </w:p>
        </w:tc>
      </w:tr>
      <w:tr xmlns:wp14="http://schemas.microsoft.com/office/word/2010/wordml" w14:paraId="215207BD" wp14:textId="77777777">
        <w:tc>
          <w:tcPr>
            <w:tcW w:w="1296" w:type="dxa"/>
            <w:tcMar>
              <w:top w:w="90" w:type="dxa"/>
              <w:start w:w="100" w:type="dxa"/>
              <w:bottom w:w="90" w:type="dxa"/>
              <w:end w:w="100" w:type="dxa"/>
            </w:tcMar>
            <w:vAlign w:val="center"/>
          </w:tcPr>
          <w:p w14:paraId="1167B08D" wp14:textId="77777777">
            <w:r>
              <w:rPr>
                <w:rFonts w:ascii="Open Sans" w:hAnsi="Open Sans"/>
                <w:b/>
                <w:color w:val="1D4289"/>
                <w:sz w:val="17"/>
              </w:rPr>
              <w:t>1:24-1:52</w:t>
            </w:r>
          </w:p>
        </w:tc>
        <w:tc>
          <w:tcPr>
            <w:tcW w:w="1800" w:type="dxa"/>
            <w:tcMar>
              <w:top w:w="90" w:type="dxa"/>
              <w:start w:w="100" w:type="dxa"/>
              <w:bottom w:w="90" w:type="dxa"/>
              <w:end w:w="100" w:type="dxa"/>
            </w:tcMar>
            <w:vAlign w:val="center"/>
          </w:tcPr>
          <w:p w14:paraId="7A14281B" wp14:textId="77777777">
            <w:r>
              <w:rPr>
                <w:rFonts w:ascii="Open Sans" w:hAnsi="Open Sans"/>
                <w:b/>
                <w:color w:val="1D4289"/>
                <w:sz w:val="17"/>
              </w:rPr>
              <w:t>UD ASSOCIATE / FLEX</w:t>
            </w:r>
          </w:p>
        </w:tc>
        <w:tc>
          <w:tcPr>
            <w:tcW w:w="6912" w:type="dxa"/>
            <w:tcMar>
              <w:top w:w="90" w:type="dxa"/>
              <w:start w:w="100" w:type="dxa"/>
              <w:bottom w:w="90" w:type="dxa"/>
              <w:end w:w="100" w:type="dxa"/>
            </w:tcMar>
            <w:vAlign w:val="center"/>
          </w:tcPr>
          <w:p w14:paraId="5A6A2043" wp14:textId="77777777">
            <w:r>
              <w:rPr>
                <w:rFonts w:ascii="Open Sans" w:hAnsi="Open Sans"/>
                <w:b w:val="0"/>
                <w:color w:val="333333"/>
                <w:sz w:val="17"/>
              </w:rPr>
              <w:t>Positive UD-style college imagery as placeholders. Explain that students can begin associate pathways in Wilmington, Dover, or Georgetown and that many pathways can continue toward Newark/bachelor’s study.</w:t>
            </w:r>
          </w:p>
        </w:tc>
      </w:tr>
      <w:tr xmlns:wp14="http://schemas.microsoft.com/office/word/2010/wordml" w14:paraId="21B9AC0A" wp14:textId="77777777">
        <w:tc>
          <w:tcPr>
            <w:tcW w:w="1296" w:type="dxa"/>
            <w:tcMar>
              <w:top w:w="90" w:type="dxa"/>
              <w:start w:w="100" w:type="dxa"/>
              <w:bottom w:w="90" w:type="dxa"/>
              <w:end w:w="100" w:type="dxa"/>
            </w:tcMar>
            <w:vAlign w:val="center"/>
          </w:tcPr>
          <w:p w14:paraId="58DAB624" wp14:textId="77777777">
            <w:r>
              <w:rPr>
                <w:rFonts w:ascii="Open Sans" w:hAnsi="Open Sans"/>
                <w:b/>
                <w:color w:val="1D4289"/>
                <w:sz w:val="17"/>
              </w:rPr>
              <w:t>1:52-2:14</w:t>
            </w:r>
          </w:p>
        </w:tc>
        <w:tc>
          <w:tcPr>
            <w:tcW w:w="1800" w:type="dxa"/>
            <w:tcMar>
              <w:top w:w="90" w:type="dxa"/>
              <w:start w:w="100" w:type="dxa"/>
              <w:bottom w:w="90" w:type="dxa"/>
              <w:end w:w="100" w:type="dxa"/>
            </w:tcMar>
            <w:vAlign w:val="center"/>
          </w:tcPr>
          <w:p w14:paraId="5EDE784F" wp14:textId="77777777">
            <w:r>
              <w:rPr>
                <w:rFonts w:ascii="Open Sans" w:hAnsi="Open Sans"/>
                <w:b/>
                <w:color w:val="1D4289"/>
                <w:sz w:val="17"/>
              </w:rPr>
              <w:t>UD + BEEBE NURSING</w:t>
            </w:r>
          </w:p>
        </w:tc>
        <w:tc>
          <w:tcPr>
            <w:tcW w:w="6912" w:type="dxa"/>
            <w:tcMar>
              <w:top w:w="90" w:type="dxa"/>
              <w:start w:w="100" w:type="dxa"/>
              <w:bottom w:w="90" w:type="dxa"/>
              <w:end w:w="100" w:type="dxa"/>
            </w:tcMar>
            <w:vAlign w:val="center"/>
          </w:tcPr>
          <w:p w14:paraId="25DBAB1B" wp14:textId="77777777">
            <w:r>
              <w:rPr>
                <w:rFonts w:ascii="Open Sans" w:hAnsi="Open Sans"/>
                <w:b w:val="0"/>
                <w:color w:val="333333"/>
                <w:sz w:val="17"/>
              </w:rPr>
              <w:t>Use nursing classroom/clinical education placeholder imagery. Explain the distinct model: UD coursework + Margaret H. Rollins School of Nursing education in Lewes.</w:t>
            </w:r>
          </w:p>
        </w:tc>
      </w:tr>
      <w:tr xmlns:wp14="http://schemas.microsoft.com/office/word/2010/wordml" w14:paraId="2ACDE455" wp14:textId="77777777">
        <w:tc>
          <w:tcPr>
            <w:tcW w:w="1296" w:type="dxa"/>
            <w:tcMar>
              <w:top w:w="90" w:type="dxa"/>
              <w:start w:w="100" w:type="dxa"/>
              <w:bottom w:w="90" w:type="dxa"/>
              <w:end w:w="100" w:type="dxa"/>
            </w:tcMar>
            <w:vAlign w:val="center"/>
          </w:tcPr>
          <w:p w14:paraId="0243409E" wp14:textId="77777777">
            <w:r>
              <w:rPr>
                <w:rFonts w:ascii="Open Sans" w:hAnsi="Open Sans"/>
                <w:b/>
                <w:color w:val="1D4289"/>
                <w:sz w:val="17"/>
              </w:rPr>
              <w:t>2:14-2:36</w:t>
            </w:r>
          </w:p>
        </w:tc>
        <w:tc>
          <w:tcPr>
            <w:tcW w:w="1800" w:type="dxa"/>
            <w:tcMar>
              <w:top w:w="90" w:type="dxa"/>
              <w:start w:w="100" w:type="dxa"/>
              <w:bottom w:w="90" w:type="dxa"/>
              <w:end w:w="100" w:type="dxa"/>
            </w:tcMar>
            <w:vAlign w:val="center"/>
          </w:tcPr>
          <w:p w14:paraId="2F836AD2" wp14:textId="77777777">
            <w:r>
              <w:rPr>
                <w:rFonts w:ascii="Open Sans" w:hAnsi="Open Sans"/>
                <w:b/>
                <w:color w:val="1D4289"/>
                <w:sz w:val="17"/>
              </w:rPr>
              <w:t>COUNSELOR LENS</w:t>
            </w:r>
          </w:p>
        </w:tc>
        <w:tc>
          <w:tcPr>
            <w:tcW w:w="6912" w:type="dxa"/>
            <w:tcMar>
              <w:top w:w="90" w:type="dxa"/>
              <w:start w:w="100" w:type="dxa"/>
              <w:bottom w:w="90" w:type="dxa"/>
              <w:end w:w="100" w:type="dxa"/>
            </w:tcMar>
            <w:vAlign w:val="center"/>
          </w:tcPr>
          <w:p w14:paraId="5A4CD12B" wp14:textId="77777777">
            <w:r>
              <w:rPr>
                <w:rFonts w:ascii="Open Sans" w:hAnsi="Open Sans"/>
                <w:b w:val="0"/>
                <w:color w:val="333333"/>
                <w:sz w:val="17"/>
              </w:rPr>
              <w:t>Graphic with complete questions: CAREER PREPARATION? ASSOCIATE DEGREE? START TOWARD A BACHELOR’S? NURSING? OTHER SPECIFIC OUTCOME? Then: MATCH THE GOAL TO THE PATHWAY.</w:t>
            </w:r>
          </w:p>
        </w:tc>
      </w:tr>
      <w:tr xmlns:wp14="http://schemas.microsoft.com/office/word/2010/wordml" w14:paraId="03DE5569" wp14:textId="77777777">
        <w:tc>
          <w:tcPr>
            <w:tcW w:w="1296" w:type="dxa"/>
            <w:tcMar>
              <w:top w:w="90" w:type="dxa"/>
              <w:start w:w="100" w:type="dxa"/>
              <w:bottom w:w="90" w:type="dxa"/>
              <w:end w:w="100" w:type="dxa"/>
            </w:tcMar>
            <w:vAlign w:val="center"/>
          </w:tcPr>
          <w:p w14:paraId="40DE8422" wp14:textId="77777777">
            <w:r>
              <w:rPr>
                <w:rFonts w:ascii="Open Sans" w:hAnsi="Open Sans"/>
                <w:b/>
                <w:color w:val="1D4289"/>
                <w:sz w:val="17"/>
              </w:rPr>
              <w:t>2:36-2:48</w:t>
            </w:r>
          </w:p>
        </w:tc>
        <w:tc>
          <w:tcPr>
            <w:tcW w:w="1800" w:type="dxa"/>
            <w:tcMar>
              <w:top w:w="90" w:type="dxa"/>
              <w:start w:w="100" w:type="dxa"/>
              <w:bottom w:w="90" w:type="dxa"/>
              <w:end w:w="100" w:type="dxa"/>
            </w:tcMar>
            <w:vAlign w:val="center"/>
          </w:tcPr>
          <w:p w14:paraId="618ABCF8" wp14:textId="77777777">
            <w:r>
              <w:rPr>
                <w:rFonts w:ascii="Open Sans" w:hAnsi="Open Sans"/>
                <w:b/>
                <w:color w:val="1D4289"/>
                <w:sz w:val="17"/>
              </w:rPr>
              <w:t>ENDING</w:t>
            </w:r>
          </w:p>
        </w:tc>
        <w:tc>
          <w:tcPr>
            <w:tcW w:w="6912" w:type="dxa"/>
            <w:tcMar>
              <w:top w:w="90" w:type="dxa"/>
              <w:start w:w="100" w:type="dxa"/>
              <w:bottom w:w="90" w:type="dxa"/>
              <w:end w:w="100" w:type="dxa"/>
            </w:tcMar>
            <w:vAlign w:val="center"/>
          </w:tcPr>
          <w:p w14:paraId="1C786687" wp14:textId="77777777">
            <w:r>
              <w:rPr>
                <w:rFonts w:ascii="Open Sans" w:hAnsi="Open Sans"/>
                <w:b w:val="0"/>
                <w:color w:val="333333"/>
                <w:sz w:val="17"/>
              </w:rPr>
              <w:t>YOUR NEXT MOVE -&gt; KEEP EXPLORING -&gt; common Launch sign-off.</w:t>
            </w:r>
          </w:p>
        </w:tc>
      </w:tr>
    </w:tbl>
    <w:p xmlns:wp14="http://schemas.microsoft.com/office/word/2010/wordml" w14:paraId="02EB378F" wp14:textId="77777777">
      <w:r>
        <w:br w:type="page"/>
      </w:r>
    </w:p>
    <w:p xmlns:wp14="http://schemas.microsoft.com/office/word/2010/wordml" w14:paraId="77FB0EE4" wp14:textId="77777777">
      <w:pPr>
        <w:spacing w:after="80" w:line="259" w:lineRule="auto"/>
      </w:pPr>
      <w:r>
        <w:rPr>
          <w:rFonts w:ascii="Open Sans" w:hAnsi="Open Sans"/>
          <w:b/>
          <w:color w:val="1D4289"/>
          <w:sz w:val="18"/>
        </w:rPr>
        <w:t>LAUNCH INTO YOUR FUTURE  |  COUNSELOR QUICK GUIDE 10</w:t>
      </w:r>
    </w:p>
    <w:p xmlns:wp14="http://schemas.microsoft.com/office/word/2010/wordml" w14:paraId="4EED0213" wp14:textId="77777777">
      <w:pPr>
        <w:spacing w:before="200" w:after="100"/>
      </w:pPr>
      <w:r>
        <w:rPr>
          <w:rFonts w:ascii="Open Sans" w:hAnsi="Open Sans"/>
          <w:b/>
          <w:color w:val="1D4289"/>
          <w:sz w:val="36"/>
        </w:rPr>
        <w:t>On-screen teaching copy - explain, do not just label</w:t>
      </w:r>
    </w:p>
    <w:p xmlns:wp14="http://schemas.microsoft.com/office/word/2010/wordml" w14:paraId="356A2B0F" wp14:textId="77777777">
      <w:pPr>
        <w:spacing w:after="140"/>
      </w:pPr>
      <w:r>
        <w:rPr>
          <w:rFonts w:ascii="Open Sans" w:hAnsi="Open Sans"/>
          <w:b/>
          <w:color w:val="00B0B9"/>
          <w:sz w:val="22"/>
        </w:rPr>
        <w:t>TWO YEARS CAN SERVE DIFFERENT GOALS</w:t>
      </w:r>
      <w:r>
        <w:rPr>
          <w:rFonts w:ascii="Open Sans" w:hAnsi="Open Sans"/>
          <w:b/>
          <w:color w:val="00B0B9"/>
          <w:sz w:val="22"/>
        </w:rPr>
        <w:br/>
      </w:r>
      <w:r>
        <w:rPr>
          <w:rFonts w:ascii="Open Sans" w:hAnsi="Open Sans"/>
          <w:b w:val="0"/>
          <w:color w:val="333333"/>
          <w:sz w:val="21"/>
        </w:rPr>
        <w:t>Career preparation | Associate degree | Start toward a bachelor’s degree | Nursing preparation</w:t>
      </w:r>
    </w:p>
    <w:p xmlns:wp14="http://schemas.microsoft.com/office/word/2010/wordml" w14:paraId="5C4FB4CC" wp14:textId="77777777">
      <w:pPr>
        <w:spacing w:after="140"/>
      </w:pPr>
      <w:r>
        <w:rPr>
          <w:rFonts w:ascii="Open Sans" w:hAnsi="Open Sans"/>
          <w:b/>
          <w:color w:val="00B0B9"/>
          <w:sz w:val="22"/>
        </w:rPr>
        <w:t>DELAWARE TECH - STRONG START</w:t>
      </w:r>
      <w:r>
        <w:rPr>
          <w:rFonts w:ascii="Open Sans" w:hAnsi="Open Sans"/>
          <w:b/>
          <w:color w:val="00B0B9"/>
          <w:sz w:val="22"/>
        </w:rPr>
        <w:br/>
      </w:r>
      <w:r>
        <w:rPr>
          <w:rFonts w:ascii="Open Sans" w:hAnsi="Open Sans"/>
          <w:b w:val="0"/>
          <w:color w:val="333333"/>
          <w:sz w:val="21"/>
        </w:rPr>
        <w:t>Initial advising connects the student’s educational goal to a first-semester plan and course schedule.</w:t>
      </w:r>
    </w:p>
    <w:p xmlns:wp14="http://schemas.microsoft.com/office/word/2010/wordml" w14:paraId="4D8686CB" wp14:textId="77777777">
      <w:pPr>
        <w:spacing w:after="140"/>
      </w:pPr>
      <w:r>
        <w:rPr>
          <w:rFonts w:ascii="Open Sans" w:hAnsi="Open Sans"/>
          <w:b/>
          <w:color w:val="00B0B9"/>
          <w:sz w:val="22"/>
        </w:rPr>
        <w:t>USING SUPPORT IS A STRENGTH</w:t>
      </w:r>
      <w:r>
        <w:rPr>
          <w:rFonts w:ascii="Open Sans" w:hAnsi="Open Sans"/>
          <w:b/>
          <w:color w:val="00B0B9"/>
          <w:sz w:val="22"/>
        </w:rPr>
        <w:br/>
      </w:r>
      <w:r>
        <w:rPr>
          <w:rFonts w:ascii="Open Sans" w:hAnsi="Open Sans"/>
          <w:b w:val="0"/>
          <w:color w:val="333333"/>
          <w:sz w:val="21"/>
        </w:rPr>
        <w:t>Successful students use advising, tutoring, financial-aid support, career services, accessibility services, and transfer assistance early.</w:t>
      </w:r>
    </w:p>
    <w:p xmlns:wp14="http://schemas.microsoft.com/office/word/2010/wordml" w14:paraId="7AD39760" wp14:textId="77777777">
      <w:pPr>
        <w:spacing w:after="140"/>
      </w:pPr>
      <w:r>
        <w:rPr>
          <w:rFonts w:ascii="Open Sans" w:hAnsi="Open Sans"/>
          <w:b/>
          <w:color w:val="00B0B9"/>
          <w:sz w:val="22"/>
        </w:rPr>
        <w:t>UD ASSOCIATE / FLEX PATHWAYS</w:t>
      </w:r>
      <w:r>
        <w:rPr>
          <w:rFonts w:ascii="Open Sans" w:hAnsi="Open Sans"/>
          <w:b/>
          <w:color w:val="00B0B9"/>
          <w:sz w:val="22"/>
        </w:rPr>
        <w:br/>
      </w:r>
      <w:r>
        <w:rPr>
          <w:rFonts w:ascii="Open Sans" w:hAnsi="Open Sans"/>
          <w:b w:val="0"/>
          <w:color w:val="333333"/>
          <w:sz w:val="21"/>
        </w:rPr>
        <w:t>Students can begin selected associate pathways in Wilmington, Dover, or Georgetown; many pathways are designed to continue toward additional UD study.</w:t>
      </w:r>
    </w:p>
    <w:p xmlns:wp14="http://schemas.microsoft.com/office/word/2010/wordml" w14:paraId="65E8100F" wp14:textId="77777777">
      <w:pPr>
        <w:spacing w:after="140"/>
      </w:pPr>
      <w:r>
        <w:rPr>
          <w:rFonts w:ascii="Open Sans" w:hAnsi="Open Sans"/>
          <w:b/>
          <w:color w:val="00B0B9"/>
          <w:sz w:val="22"/>
        </w:rPr>
        <w:t>UD + BEEBE NURSING</w:t>
      </w:r>
      <w:r>
        <w:rPr>
          <w:rFonts w:ascii="Open Sans" w:hAnsi="Open Sans"/>
          <w:b/>
          <w:color w:val="00B0B9"/>
          <w:sz w:val="22"/>
        </w:rPr>
        <w:br/>
      </w:r>
      <w:r>
        <w:rPr>
          <w:rFonts w:ascii="Open Sans" w:hAnsi="Open Sans"/>
          <w:b w:val="0"/>
          <w:color w:val="333333"/>
          <w:sz w:val="21"/>
        </w:rPr>
        <w:t>A distinct pathway combining University of Delaware coursework with nursing education at Margaret H. Rollins School of Nursing in Lewes.</w:t>
      </w:r>
    </w:p>
    <w:p xmlns:wp14="http://schemas.microsoft.com/office/word/2010/wordml" w14:paraId="7E8D158B" wp14:textId="77777777">
      <w:pPr>
        <w:spacing w:after="140"/>
      </w:pPr>
      <w:r>
        <w:rPr>
          <w:rFonts w:ascii="Open Sans" w:hAnsi="Open Sans"/>
          <w:b/>
          <w:color w:val="00B0B9"/>
          <w:sz w:val="22"/>
        </w:rPr>
        <w:t>START WITH THE DESTINATION</w:t>
      </w:r>
      <w:r>
        <w:rPr>
          <w:rFonts w:ascii="Open Sans" w:hAnsi="Open Sans"/>
          <w:b/>
          <w:color w:val="00B0B9"/>
          <w:sz w:val="22"/>
        </w:rPr>
        <w:br/>
      </w:r>
      <w:r>
        <w:rPr>
          <w:rFonts w:ascii="Open Sans" w:hAnsi="Open Sans"/>
          <w:b w:val="0"/>
          <w:color w:val="333333"/>
          <w:sz w:val="21"/>
        </w:rPr>
        <w:t>Ask what the student wants the first two years to accomplish - then compare the Delaware pathways that can move the student toward that goal.</w:t>
      </w:r>
    </w:p>
    <w:p xmlns:wp14="http://schemas.microsoft.com/office/word/2010/wordml" w14:paraId="3DAC7020" wp14:textId="77777777">
      <w:pPr>
        <w:spacing w:before="200" w:after="100"/>
      </w:pPr>
      <w:r>
        <w:rPr>
          <w:rFonts w:ascii="Open Sans" w:hAnsi="Open Sans"/>
          <w:b/>
          <w:color w:val="1D4289"/>
          <w:sz w:val="36"/>
        </w:rPr>
        <w:t>Factual guardrails</w:t>
      </w:r>
    </w:p>
    <w:p xmlns:wp14="http://schemas.microsoft.com/office/word/2010/wordml" w14:paraId="632F8F8F" wp14:textId="77777777">
      <w:pPr>
        <w:pStyle w:val="ListBullet"/>
        <w:spacing w:after="60"/>
      </w:pPr>
      <w:r>
        <w:rPr>
          <w:rFonts w:ascii="Open Sans" w:hAnsi="Open Sans"/>
          <w:b w:val="0"/>
          <w:color w:val="333333"/>
          <w:sz w:val="21"/>
        </w:rPr>
        <w:t>Do not describe Beebe as a two-year college. Margaret H. Rollins School of Nursing is a nursing diploma program; the referenced pathway combines its nursing education with University of Delaware coursework.</w:t>
      </w:r>
    </w:p>
    <w:p xmlns:wp14="http://schemas.microsoft.com/office/word/2010/wordml" w14:paraId="251F7C3C" wp14:textId="77777777">
      <w:pPr>
        <w:pStyle w:val="ListBullet"/>
        <w:spacing w:after="60"/>
      </w:pPr>
      <w:r>
        <w:rPr>
          <w:rFonts w:ascii="Open Sans" w:hAnsi="Open Sans"/>
          <w:b w:val="0"/>
          <w:color w:val="333333"/>
          <w:sz w:val="21"/>
        </w:rPr>
        <w:t>Do not imply every UD associate pathway leads to a bachelor’s degree. Registered nursing is currently identified by UD as an associate-degree-only Flex Pathway.</w:t>
      </w:r>
    </w:p>
    <w:p xmlns:wp14="http://schemas.microsoft.com/office/word/2010/wordml" w14:paraId="10FA2842" wp14:textId="77777777">
      <w:pPr>
        <w:pStyle w:val="ListBullet"/>
        <w:spacing w:after="60"/>
      </w:pPr>
      <w:r>
        <w:rPr>
          <w:rFonts w:ascii="Open Sans" w:hAnsi="Open Sans"/>
          <w:b w:val="0"/>
          <w:color w:val="333333"/>
          <w:sz w:val="21"/>
        </w:rPr>
        <w:t>Do not promise admission, SEED eligibility, scholarship eligibility, transfer, licensure, or a particular career outcome.</w:t>
      </w:r>
    </w:p>
    <w:p xmlns:wp14="http://schemas.microsoft.com/office/word/2010/wordml" w14:paraId="0C2B6DB9" wp14:textId="77777777">
      <w:pPr>
        <w:pStyle w:val="ListBullet"/>
        <w:spacing w:after="60"/>
      </w:pPr>
      <w:r>
        <w:rPr>
          <w:rFonts w:ascii="Open Sans" w:hAnsi="Open Sans"/>
          <w:b w:val="0"/>
          <w:color w:val="333333"/>
          <w:sz w:val="21"/>
        </w:rPr>
        <w:t>Do not invent current program offerings, deadlines, costs, admission requirements, or campus availability. Use official institutional sources for current details.</w:t>
      </w:r>
    </w:p>
    <w:p xmlns:wp14="http://schemas.microsoft.com/office/word/2010/wordml" w14:paraId="1F74CB6B" wp14:textId="77777777">
      <w:pPr>
        <w:pStyle w:val="ListBullet"/>
        <w:spacing w:after="60"/>
      </w:pPr>
      <w:r>
        <w:rPr>
          <w:rFonts w:ascii="Open Sans" w:hAnsi="Open Sans"/>
          <w:b w:val="0"/>
          <w:color w:val="333333"/>
          <w:sz w:val="21"/>
        </w:rPr>
        <w:t>Delaware Tech is the anchor example, but do not present it as the only Delaware two-year/associate option.</w:t>
      </w:r>
    </w:p>
    <w:p xmlns:wp14="http://schemas.microsoft.com/office/word/2010/wordml" w14:paraId="34DC33C0" wp14:textId="77777777">
      <w:pPr>
        <w:spacing w:before="200" w:after="100"/>
      </w:pPr>
      <w:r>
        <w:rPr>
          <w:rFonts w:ascii="Open Sans" w:hAnsi="Open Sans"/>
          <w:b/>
          <w:color w:val="1D4289"/>
          <w:sz w:val="36"/>
        </w:rPr>
        <w:t>Copilot production rules</w:t>
      </w:r>
    </w:p>
    <w:p xmlns:wp14="http://schemas.microsoft.com/office/word/2010/wordml" w14:paraId="4D6DB05A" wp14:textId="77777777">
      <w:pPr>
        <w:pStyle w:val="ListBullet"/>
        <w:spacing w:after="60"/>
      </w:pPr>
      <w:r>
        <w:rPr>
          <w:rFonts w:ascii="Open Sans" w:hAnsi="Open Sans"/>
          <w:b w:val="0"/>
          <w:color w:val="333333"/>
          <w:sz w:val="21"/>
        </w:rPr>
        <w:t>FINAL NARRATION is locked. Read it verbatim.</w:t>
      </w:r>
    </w:p>
    <w:p xmlns:wp14="http://schemas.microsoft.com/office/word/2010/wordml" w14:paraId="5CC74C65" wp14:textId="77777777">
      <w:pPr>
        <w:pStyle w:val="ListBullet"/>
        <w:spacing w:after="60"/>
      </w:pPr>
      <w:r>
        <w:rPr>
          <w:rFonts w:ascii="Open Sans" w:hAnsi="Open Sans"/>
          <w:b w:val="0"/>
          <w:color w:val="333333"/>
          <w:sz w:val="21"/>
        </w:rPr>
        <w:t>Use standard Microsoft stock video, stock photography, plain text, and basic text cards suitable for continued editing in Clipchamp.</w:t>
      </w:r>
    </w:p>
    <w:p xmlns:wp14="http://schemas.microsoft.com/office/word/2010/wordml" w14:paraId="721E02DB" wp14:textId="77777777">
      <w:pPr>
        <w:pStyle w:val="ListBullet"/>
        <w:spacing w:after="60"/>
      </w:pPr>
      <w:r>
        <w:rPr>
          <w:rFonts w:ascii="Open Sans" w:hAnsi="Open Sans"/>
          <w:b w:val="0"/>
          <w:color w:val="333333"/>
          <w:sz w:val="21"/>
        </w:rPr>
        <w:t>Placeholder visuals are acceptable; prioritize stable editable assets over generated media.</w:t>
      </w:r>
    </w:p>
    <w:p xmlns:wp14="http://schemas.microsoft.com/office/word/2010/wordml" w14:paraId="5BED9C32" wp14:textId="77777777">
      <w:pPr>
        <w:pStyle w:val="ListBullet"/>
        <w:spacing w:after="60"/>
      </w:pPr>
      <w:r>
        <w:rPr>
          <w:rFonts w:ascii="Open Sans" w:hAnsi="Open Sans"/>
          <w:b w:val="0"/>
          <w:color w:val="333333"/>
          <w:sz w:val="21"/>
        </w:rPr>
        <w:t>Use horizontal medium or medium-wide footage with complete heads visible and natural headroom.</w:t>
      </w:r>
    </w:p>
    <w:p xmlns:wp14="http://schemas.microsoft.com/office/word/2010/wordml" w14:paraId="7B10B99B" wp14:textId="77777777">
      <w:pPr>
        <w:pStyle w:val="ListBullet"/>
        <w:spacing w:after="60"/>
      </w:pPr>
      <w:r>
        <w:rPr>
          <w:rFonts w:ascii="Open Sans" w:hAnsi="Open Sans"/>
          <w:b w:val="0"/>
          <w:color w:val="333333"/>
          <w:sz w:val="21"/>
        </w:rPr>
        <w:t>If a relevant stock visual is not available, use a clean text card rather than unrelated imagery.</w:t>
      </w:r>
    </w:p>
    <w:p xmlns:wp14="http://schemas.microsoft.com/office/word/2010/wordml" w14:paraId="19A6B646" wp14:textId="77777777">
      <w:pPr>
        <w:pStyle w:val="ListBullet"/>
        <w:spacing w:after="60"/>
      </w:pPr>
      <w:r>
        <w:rPr>
          <w:rFonts w:ascii="Open Sans" w:hAnsi="Open Sans"/>
          <w:b w:val="0"/>
          <w:color w:val="333333"/>
          <w:sz w:val="21"/>
        </w:rPr>
        <w:t>Do not reuse the same stock clip.</w:t>
      </w:r>
    </w:p>
    <w:p xmlns:wp14="http://schemas.microsoft.com/office/word/2010/wordml" w14:paraId="61824057" wp14:textId="77777777">
      <w:pPr>
        <w:pStyle w:val="ListBullet"/>
        <w:spacing w:after="60"/>
      </w:pPr>
      <w:r>
        <w:rPr>
          <w:rFonts w:ascii="Open Sans" w:hAnsi="Open Sans"/>
          <w:b w:val="0"/>
          <w:color w:val="333333"/>
          <w:sz w:val="21"/>
        </w:rPr>
        <w:t>Keep the visual tone positive, college-going, Delaware-specific in copy, and opportunity-focused.</w:t>
      </w:r>
    </w:p>
    <w:p xmlns:wp14="http://schemas.microsoft.com/office/word/2010/wordml" w14:paraId="4433437B" wp14:textId="77777777">
      <w:pPr>
        <w:spacing w:before="200" w:after="100"/>
      </w:pPr>
      <w:r>
        <w:rPr>
          <w:rFonts w:ascii="Open Sans" w:hAnsi="Open Sans"/>
          <w:b/>
          <w:color w:val="1D4289"/>
          <w:sz w:val="36"/>
        </w:rPr>
        <w:t>Standard ending</w:t>
      </w:r>
    </w:p>
    <w:p xmlns:wp14="http://schemas.microsoft.com/office/word/2010/wordml" w14:paraId="09E3AD75" wp14:textId="77777777">
      <w:pPr>
        <w:spacing w:after="40" w:line="259" w:lineRule="auto"/>
      </w:pPr>
      <w:r>
        <w:rPr>
          <w:rFonts w:ascii="Open Sans" w:hAnsi="Open Sans"/>
          <w:b/>
          <w:color w:val="FF6720"/>
          <w:sz w:val="24"/>
        </w:rPr>
        <w:t>YOUR NEXT MOVE</w:t>
      </w:r>
    </w:p>
    <w:p xmlns:wp14="http://schemas.microsoft.com/office/word/2010/wordml" w14:paraId="3ED6D28B" wp14:textId="77777777">
      <w:pPr>
        <w:spacing w:after="120" w:line="259" w:lineRule="auto"/>
      </w:pPr>
      <w:r>
        <w:rPr>
          <w:rFonts w:ascii="Open Sans" w:hAnsi="Open Sans"/>
          <w:b w:val="0"/>
          <w:color w:val="222222"/>
          <w:sz w:val="21"/>
        </w:rPr>
        <w:t>Help the student name what the first two years should accomplish, then compare the Delaware pathway that best supports that goal.</w:t>
      </w:r>
    </w:p>
    <w:p xmlns:wp14="http://schemas.microsoft.com/office/word/2010/wordml" w14:paraId="244D7F44" wp14:textId="77777777">
      <w:pPr>
        <w:spacing w:after="40" w:line="259" w:lineRule="auto"/>
      </w:pPr>
      <w:r>
        <w:rPr>
          <w:rFonts w:ascii="Open Sans" w:hAnsi="Open Sans"/>
          <w:b/>
          <w:color w:val="00B0B9"/>
          <w:sz w:val="24"/>
        </w:rPr>
        <w:t>KEEP EXPLORING</w:t>
      </w:r>
    </w:p>
    <w:p xmlns:wp14="http://schemas.microsoft.com/office/word/2010/wordml" w14:paraId="4C1F3B04" wp14:textId="77777777">
      <w:pPr>
        <w:spacing w:after="120" w:line="259" w:lineRule="auto"/>
      </w:pPr>
      <w:r>
        <w:rPr>
          <w:rFonts w:ascii="Open Sans" w:hAnsi="Open Sans"/>
          <w:b w:val="0"/>
          <w:color w:val="222222"/>
          <w:sz w:val="21"/>
        </w:rPr>
        <w:t>Delaware Technical Community College</w:t>
      </w:r>
      <w:r>
        <w:rPr>
          <w:rFonts w:ascii="Open Sans" w:hAnsi="Open Sans"/>
          <w:b w:val="0"/>
          <w:color w:val="222222"/>
          <w:sz w:val="21"/>
        </w:rPr>
        <w:br/>
      </w:r>
      <w:r>
        <w:rPr>
          <w:rFonts w:ascii="Open Sans" w:hAnsi="Open Sans"/>
          <w:b w:val="0"/>
          <w:color w:val="222222"/>
          <w:sz w:val="21"/>
        </w:rPr>
        <w:t>University of Delaware Flex Pathways / Associate in Arts</w:t>
      </w:r>
      <w:r>
        <w:rPr>
          <w:rFonts w:ascii="Open Sans" w:hAnsi="Open Sans"/>
          <w:b w:val="0"/>
          <w:color w:val="222222"/>
          <w:sz w:val="21"/>
        </w:rPr>
        <w:br/>
      </w:r>
      <w:r>
        <w:rPr>
          <w:rFonts w:ascii="Open Sans" w:hAnsi="Open Sans"/>
          <w:b w:val="0"/>
          <w:color w:val="222222"/>
          <w:sz w:val="21"/>
        </w:rPr>
        <w:t>University of Delaware + Margaret H. Rollins School of Nursing pathway</w:t>
      </w:r>
    </w:p>
    <w:p xmlns:wp14="http://schemas.microsoft.com/office/word/2010/wordml" w14:paraId="6AF0E729" wp14:textId="77777777">
      <w:pPr>
        <w:spacing w:after="160" w:line="259" w:lineRule="auto"/>
        <w:jc w:val="center"/>
      </w:pPr>
      <w:r>
        <w:rPr>
          <w:rFonts w:ascii="Open Sans" w:hAnsi="Open Sans"/>
          <w:b/>
          <w:color w:val="1D4289"/>
          <w:sz w:val="26"/>
        </w:rPr>
        <w:t>EVERY STUDENT. A NEXT STEP. A WAY FORWARD.</w:t>
      </w:r>
    </w:p>
    <w:p xmlns:wp14="http://schemas.microsoft.com/office/word/2010/wordml" w14:paraId="4EAB6A05" wp14:textId="77777777">
      <w:pPr>
        <w:spacing w:before="200" w:after="100"/>
      </w:pPr>
      <w:r>
        <w:rPr>
          <w:rFonts w:ascii="Open Sans" w:hAnsi="Open Sans"/>
          <w:b/>
          <w:color w:val="1D4289"/>
          <w:sz w:val="36"/>
        </w:rPr>
        <w:t>Approved resource anchors</w:t>
      </w:r>
    </w:p>
    <w:p xmlns:wp14="http://schemas.microsoft.com/office/word/2010/wordml" w14:paraId="34A7E898" wp14:textId="77777777">
      <w:pPr>
        <w:pStyle w:val="ListBullet"/>
        <w:spacing w:after="60"/>
      </w:pPr>
      <w:r>
        <w:rPr>
          <w:rFonts w:ascii="Open Sans" w:hAnsi="Open Sans"/>
          <w:b w:val="0"/>
          <w:color w:val="333333"/>
          <w:sz w:val="21"/>
        </w:rPr>
        <w:t>Delaware Tech Advising: https://www.dtcc.edu/student-resources/advising/</w:t>
      </w:r>
    </w:p>
    <w:p xmlns:wp14="http://schemas.microsoft.com/office/word/2010/wordml" w14:paraId="2E3F70FD" wp14:textId="77777777">
      <w:pPr>
        <w:pStyle w:val="ListBullet"/>
        <w:spacing w:after="60"/>
      </w:pPr>
      <w:r>
        <w:rPr>
          <w:rFonts w:ascii="Open Sans" w:hAnsi="Open Sans"/>
          <w:b w:val="0"/>
          <w:color w:val="333333"/>
          <w:sz w:val="21"/>
        </w:rPr>
        <w:t>Delaware Tech Student Support: https://www.dtcc.edu/support/</w:t>
      </w:r>
    </w:p>
    <w:p xmlns:wp14="http://schemas.microsoft.com/office/word/2010/wordml" w14:paraId="10296AFD" wp14:textId="77777777">
      <w:pPr>
        <w:pStyle w:val="ListBullet"/>
        <w:spacing w:after="60"/>
      </w:pPr>
      <w:r>
        <w:rPr>
          <w:rFonts w:ascii="Open Sans" w:hAnsi="Open Sans"/>
          <w:b w:val="0"/>
          <w:color w:val="333333"/>
          <w:sz w:val="21"/>
        </w:rPr>
        <w:t>UD Associate in Arts Program: https://www.udel.edu/academics/colleges/cas/units/associate-in-arts-program/</w:t>
      </w:r>
    </w:p>
    <w:p xmlns:wp14="http://schemas.microsoft.com/office/word/2010/wordml" w14:paraId="1FCD4294" wp14:textId="77777777">
      <w:pPr>
        <w:pStyle w:val="ListBullet"/>
        <w:spacing w:after="60"/>
      </w:pPr>
      <w:r>
        <w:rPr>
          <w:rFonts w:ascii="Open Sans" w:hAnsi="Open Sans"/>
          <w:b w:val="0"/>
          <w:color w:val="333333"/>
          <w:sz w:val="21"/>
        </w:rPr>
        <w:t>UD Flex Pathways: https://www.udel.edu/home/pathways/</w:t>
      </w:r>
    </w:p>
    <w:p xmlns:wp14="http://schemas.microsoft.com/office/word/2010/wordml" w14:paraId="5F6C5F6B" wp14:textId="77777777">
      <w:pPr>
        <w:pStyle w:val="ListBullet"/>
        <w:spacing w:after="60"/>
      </w:pPr>
      <w:r>
        <w:rPr>
          <w:rFonts w:ascii="Open Sans" w:hAnsi="Open Sans"/>
          <w:b w:val="0"/>
          <w:color w:val="333333"/>
          <w:sz w:val="21"/>
        </w:rPr>
        <w:t>UD Nursing / Beebe pathway: https://www.udel.edu/home/pathways/nursing/</w:t>
      </w:r>
    </w:p>
    <w:sectPr w:rsidRPr="0006063C" w:rsidR="00FC693F" w:rsidSect="00034616">
      <w:pgSz w:w="12240" w:h="15840" w:orient="portrait"/>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71A55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8770F2A4-B22B-476C-92B9-FDBFF6C009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Open Sans" w:hAnsi="Ope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image" Target="media/image1.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Trego Mike</lastModifiedBy>
  <revision>2</revision>
  <dcterms:created xsi:type="dcterms:W3CDTF">2013-12-23T23:15:00.0000000Z</dcterms:created>
  <dcterms:modified xsi:type="dcterms:W3CDTF">2026-09-27T17:25:06.6678854Z</dcterms:modified>
  <category/>
</coreProperties>
</file>