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rtl w:val="0"/>
          <w:lang w:val="en-US"/>
        </w:rPr>
        <w:t>Resume Building: Differentiations &amp; Extension</w:t>
      </w:r>
    </w:p>
    <w:tbl>
      <w:tblPr>
        <w:tblW w:w="955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90"/>
        <w:gridCol w:w="8460"/>
      </w:tblGrid>
      <w:tr>
        <w:tblPrEx>
          <w:shd w:val="clear" w:color="auto" w:fill="ced7e7"/>
        </w:tblPrEx>
        <w:trPr>
          <w:trHeight w:val="415" w:hRule="atLeast"/>
        </w:trPr>
        <w:tc>
          <w:tcPr>
            <w:tcW w:type="dxa" w:w="109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b w:val="1"/>
                <w:bCs w:val="1"/>
                <w:outline w:val="0"/>
                <w:color w:val="1d4289"/>
                <w:u w:color="1d4289"/>
                <w:shd w:val="nil" w:color="auto" w:fill="auto"/>
                <w:rtl w:val="0"/>
                <w:lang w:val="en-US"/>
                <w14:textFill>
                  <w14:solidFill>
                    <w14:srgbClr w14:val="1D4289"/>
                  </w14:solidFill>
                </w14:textFill>
              </w:rPr>
              <w:t>LEARNING CONTEXT</w:t>
            </w:r>
          </w:p>
        </w:tc>
        <w:tc>
          <w:tcPr>
            <w:tcW w:type="dxa" w:w="84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b w:val="1"/>
                <w:bCs w:val="1"/>
                <w:shd w:val="nil" w:color="auto" w:fill="auto"/>
                <w:rtl w:val="0"/>
                <w:lang w:val="en-US"/>
              </w:rPr>
              <w:t>APPROACHES</w:t>
            </w:r>
          </w:p>
        </w:tc>
      </w:tr>
      <w:tr>
        <w:tblPrEx>
          <w:shd w:val="clear" w:color="auto" w:fill="ced7e7"/>
        </w:tblPrEx>
        <w:trPr>
          <w:trHeight w:val="2335" w:hRule="atLeast"/>
        </w:trPr>
        <w:tc>
          <w:tcPr>
            <w:tcW w:type="dxa" w:w="109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Anxiety</w:t>
            </w:r>
          </w:p>
        </w:tc>
        <w:tc>
          <w:tcPr>
            <w:tcW w:type="dxa" w:w="84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numPr>
                <w:ilvl w:val="0"/>
                <w:numId w:val="1"/>
              </w:numPr>
              <w:rPr>
                <w:sz w:val="22"/>
                <w:szCs w:val="22"/>
                <w:lang w:val="en-US"/>
              </w:rPr>
            </w:pPr>
            <w:r>
              <w:rPr>
                <w:sz w:val="22"/>
                <w:szCs w:val="22"/>
                <w:shd w:val="nil" w:color="auto" w:fill="auto"/>
                <w:rtl w:val="0"/>
                <w:lang w:val="en-US"/>
              </w:rPr>
              <w:t>Emphasize that this workshop is about helping students present their experiences</w:t>
            </w:r>
            <w:r>
              <w:rPr>
                <w:sz w:val="22"/>
                <w:szCs w:val="22"/>
                <w:shd w:val="nil" w:color="auto" w:fill="auto"/>
                <w:rtl w:val="0"/>
                <w:lang w:val="en-US"/>
              </w:rPr>
              <w:t>—</w:t>
            </w:r>
            <w:r>
              <w:rPr>
                <w:sz w:val="22"/>
                <w:szCs w:val="22"/>
                <w:shd w:val="nil" w:color="auto" w:fill="auto"/>
                <w:rtl w:val="0"/>
                <w:lang w:val="en-US"/>
              </w:rPr>
              <w:t>not judging whether they have "enough" experience.</w:t>
            </w:r>
          </w:p>
          <w:p>
            <w:pPr>
              <w:pStyle w:val="Body"/>
              <w:numPr>
                <w:ilvl w:val="0"/>
                <w:numId w:val="1"/>
              </w:numPr>
              <w:bidi w:val="0"/>
              <w:ind w:right="0"/>
              <w:jc w:val="left"/>
              <w:rPr>
                <w:sz w:val="22"/>
                <w:szCs w:val="22"/>
                <w:rtl w:val="0"/>
                <w:lang w:val="en-US"/>
              </w:rPr>
            </w:pPr>
            <w:r>
              <w:rPr>
                <w:sz w:val="22"/>
                <w:szCs w:val="22"/>
                <w:shd w:val="nil" w:color="auto" w:fill="auto"/>
                <w:rtl w:val="0"/>
                <w:lang w:val="en-US"/>
              </w:rPr>
              <w:t>Normalize that most high school students underestimate what belongs on a resume.</w:t>
            </w:r>
          </w:p>
          <w:p>
            <w:pPr>
              <w:pStyle w:val="Body"/>
              <w:numPr>
                <w:ilvl w:val="0"/>
                <w:numId w:val="1"/>
              </w:numPr>
              <w:bidi w:val="0"/>
              <w:ind w:right="0"/>
              <w:jc w:val="left"/>
              <w:rPr>
                <w:sz w:val="22"/>
                <w:szCs w:val="22"/>
                <w:rtl w:val="0"/>
                <w:lang w:val="en-US"/>
              </w:rPr>
            </w:pPr>
            <w:r>
              <w:rPr>
                <w:sz w:val="22"/>
                <w:szCs w:val="22"/>
                <w:shd w:val="nil" w:color="auto" w:fill="auto"/>
                <w:rtl w:val="0"/>
                <w:lang w:val="en-US"/>
              </w:rPr>
              <w:t>Allow students to complete portions of the Brag Sheet independently before discussing ideas with peers.</w:t>
            </w:r>
          </w:p>
          <w:p>
            <w:pPr>
              <w:pStyle w:val="Body"/>
              <w:numPr>
                <w:ilvl w:val="0"/>
                <w:numId w:val="1"/>
              </w:numPr>
              <w:bidi w:val="0"/>
              <w:ind w:right="0"/>
              <w:jc w:val="left"/>
              <w:rPr>
                <w:sz w:val="22"/>
                <w:szCs w:val="22"/>
                <w:rtl w:val="0"/>
                <w:lang w:val="en-US"/>
              </w:rPr>
            </w:pPr>
            <w:r>
              <w:rPr>
                <w:sz w:val="22"/>
                <w:szCs w:val="22"/>
                <w:shd w:val="nil" w:color="auto" w:fill="auto"/>
                <w:rtl w:val="0"/>
                <w:lang w:val="en-US"/>
              </w:rPr>
              <w:t>Offer the option to receive individual feedback rather than sharing resumes publicly.</w:t>
            </w:r>
          </w:p>
        </w:tc>
      </w:tr>
      <w:tr>
        <w:tblPrEx>
          <w:shd w:val="clear" w:color="auto" w:fill="ced7e7"/>
        </w:tblPrEx>
        <w:trPr>
          <w:trHeight w:val="1925" w:hRule="atLeast"/>
        </w:trPr>
        <w:tc>
          <w:tcPr>
            <w:tcW w:type="dxa" w:w="109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MLL</w:t>
            </w:r>
          </w:p>
        </w:tc>
        <w:tc>
          <w:tcPr>
            <w:tcW w:type="dxa" w:w="84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numPr>
                <w:ilvl w:val="0"/>
                <w:numId w:val="2"/>
              </w:numPr>
              <w:rPr>
                <w:sz w:val="22"/>
                <w:szCs w:val="22"/>
                <w:lang w:val="en-US"/>
              </w:rPr>
            </w:pPr>
            <w:r>
              <w:rPr>
                <w:sz w:val="22"/>
                <w:szCs w:val="22"/>
                <w:shd w:val="nil" w:color="auto" w:fill="auto"/>
                <w:rtl w:val="0"/>
                <w:lang w:val="en-US"/>
              </w:rPr>
              <w:t>Pre-teach vocabulary (resume, internship, certification, accomplishment, leadership, tailored, applicant, professional summary, ATS).</w:t>
            </w:r>
          </w:p>
          <w:p>
            <w:pPr>
              <w:pStyle w:val="DSS Table Text"/>
              <w:numPr>
                <w:ilvl w:val="0"/>
                <w:numId w:val="2"/>
              </w:numPr>
              <w:bidi w:val="0"/>
              <w:ind w:right="0"/>
              <w:jc w:val="left"/>
              <w:rPr>
                <w:sz w:val="22"/>
                <w:szCs w:val="22"/>
                <w:rtl w:val="0"/>
                <w:lang w:val="en-US"/>
              </w:rPr>
            </w:pPr>
            <w:r>
              <w:rPr>
                <w:sz w:val="22"/>
                <w:szCs w:val="22"/>
                <w:shd w:val="nil" w:color="auto" w:fill="auto"/>
                <w:rtl w:val="0"/>
                <w:lang w:val="en-US"/>
              </w:rPr>
              <w:t>Allow students to brainstorm experiences in their home language before translating them.</w:t>
            </w:r>
          </w:p>
          <w:p>
            <w:pPr>
              <w:pStyle w:val="DSS Table Text"/>
              <w:numPr>
                <w:ilvl w:val="0"/>
                <w:numId w:val="2"/>
              </w:numPr>
              <w:bidi w:val="0"/>
              <w:ind w:right="0"/>
              <w:jc w:val="left"/>
              <w:rPr>
                <w:sz w:val="22"/>
                <w:szCs w:val="22"/>
                <w:rtl w:val="0"/>
                <w:lang w:val="en-US"/>
              </w:rPr>
            </w:pPr>
            <w:r>
              <w:rPr>
                <w:sz w:val="22"/>
                <w:szCs w:val="22"/>
                <w:shd w:val="nil" w:color="auto" w:fill="auto"/>
                <w:rtl w:val="0"/>
                <w:lang w:val="en-US"/>
              </w:rPr>
              <w:t>Pair written directions with visuals and sample resumes.</w:t>
            </w:r>
          </w:p>
          <w:p>
            <w:pPr>
              <w:pStyle w:val="DSS Table Text"/>
              <w:numPr>
                <w:ilvl w:val="0"/>
                <w:numId w:val="2"/>
              </w:numPr>
              <w:bidi w:val="0"/>
              <w:ind w:right="0"/>
              <w:jc w:val="left"/>
              <w:rPr>
                <w:sz w:val="22"/>
                <w:szCs w:val="22"/>
                <w:rtl w:val="0"/>
                <w:lang w:val="en-US"/>
              </w:rPr>
            </w:pPr>
            <w:r>
              <w:rPr>
                <w:sz w:val="22"/>
                <w:szCs w:val="22"/>
                <w:shd w:val="nil" w:color="auto" w:fill="auto"/>
                <w:rtl w:val="0"/>
                <w:lang w:val="en-US"/>
              </w:rPr>
              <w:t>Encourage use of translation tools and bilingual peer support when appropriate.</w:t>
            </w:r>
          </w:p>
        </w:tc>
      </w:tr>
      <w:tr>
        <w:tblPrEx>
          <w:shd w:val="clear" w:color="auto" w:fill="ced7e7"/>
        </w:tblPrEx>
        <w:trPr>
          <w:trHeight w:val="2075" w:hRule="atLeast"/>
        </w:trPr>
        <w:tc>
          <w:tcPr>
            <w:tcW w:type="dxa" w:w="109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IEP/504</w:t>
            </w:r>
          </w:p>
        </w:tc>
        <w:tc>
          <w:tcPr>
            <w:tcW w:type="dxa" w:w="84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numPr>
                <w:ilvl w:val="0"/>
                <w:numId w:val="3"/>
              </w:numPr>
              <w:rPr>
                <w:sz w:val="22"/>
                <w:szCs w:val="22"/>
                <w:lang w:val="en-US"/>
              </w:rPr>
            </w:pPr>
            <w:r>
              <w:rPr>
                <w:sz w:val="22"/>
                <w:szCs w:val="22"/>
                <w:shd w:val="nil" w:color="auto" w:fill="auto"/>
                <w:rtl w:val="0"/>
                <w:lang w:val="en-US"/>
              </w:rPr>
              <w:t>Provide additional processing time for completion of the AI Resume Prompt / Brag Sheet.</w:t>
            </w:r>
          </w:p>
          <w:p>
            <w:pPr>
              <w:pStyle w:val="Body"/>
              <w:numPr>
                <w:ilvl w:val="0"/>
                <w:numId w:val="3"/>
              </w:numPr>
              <w:bidi w:val="0"/>
              <w:ind w:right="0"/>
              <w:jc w:val="left"/>
              <w:rPr>
                <w:sz w:val="22"/>
                <w:szCs w:val="22"/>
                <w:rtl w:val="0"/>
                <w:lang w:val="en-US"/>
              </w:rPr>
            </w:pPr>
            <w:r>
              <w:rPr>
                <w:sz w:val="22"/>
                <w:szCs w:val="22"/>
                <w:shd w:val="nil" w:color="auto" w:fill="auto"/>
                <w:rtl w:val="0"/>
                <w:lang w:val="en-US"/>
              </w:rPr>
              <w:t>Break the Brag Sheet into smaller sections and check for completion before moving to the next section.</w:t>
            </w:r>
          </w:p>
          <w:p>
            <w:pPr>
              <w:pStyle w:val="Body"/>
              <w:numPr>
                <w:ilvl w:val="0"/>
                <w:numId w:val="3"/>
              </w:numPr>
              <w:bidi w:val="0"/>
              <w:ind w:right="0"/>
              <w:jc w:val="left"/>
              <w:rPr>
                <w:sz w:val="22"/>
                <w:szCs w:val="22"/>
                <w:rtl w:val="0"/>
                <w:lang w:val="en-US"/>
              </w:rPr>
            </w:pPr>
            <w:r>
              <w:rPr>
                <w:sz w:val="22"/>
                <w:szCs w:val="22"/>
                <w:shd w:val="nil" w:color="auto" w:fill="auto"/>
                <w:rtl w:val="0"/>
                <w:lang w:val="en-US"/>
              </w:rPr>
              <w:t>Offer sentence starters or prompting questions when students struggle to identify experiences.</w:t>
            </w:r>
          </w:p>
          <w:p>
            <w:pPr>
              <w:pStyle w:val="Body"/>
              <w:numPr>
                <w:ilvl w:val="0"/>
                <w:numId w:val="3"/>
              </w:numPr>
              <w:bidi w:val="0"/>
              <w:ind w:right="0"/>
              <w:jc w:val="left"/>
              <w:rPr>
                <w:sz w:val="22"/>
                <w:szCs w:val="22"/>
                <w:rtl w:val="0"/>
                <w:lang w:val="en-US"/>
              </w:rPr>
            </w:pPr>
            <w:r>
              <w:rPr>
                <w:sz w:val="22"/>
                <w:szCs w:val="22"/>
                <w:shd w:val="nil" w:color="auto" w:fill="auto"/>
                <w:rtl w:val="0"/>
                <w:lang w:val="en-US"/>
              </w:rPr>
              <w:t>Allow speech-to-text, oral responses, or partner assistance when appropriate.</w:t>
            </w:r>
          </w:p>
        </w:tc>
      </w:tr>
      <w:tr>
        <w:tblPrEx>
          <w:shd w:val="clear" w:color="auto" w:fill="ced7e7"/>
        </w:tblPrEx>
        <w:trPr>
          <w:trHeight w:val="2445" w:hRule="atLeast"/>
        </w:trPr>
        <w:tc>
          <w:tcPr>
            <w:tcW w:type="dxa" w:w="109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Advanced</w:t>
            </w:r>
          </w:p>
        </w:tc>
        <w:tc>
          <w:tcPr>
            <w:tcW w:type="dxa" w:w="84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numPr>
                <w:ilvl w:val="0"/>
                <w:numId w:val="4"/>
              </w:numPr>
              <w:rPr>
                <w:sz w:val="22"/>
                <w:szCs w:val="22"/>
                <w:lang w:val="en-US"/>
              </w:rPr>
            </w:pPr>
            <w:r>
              <w:rPr>
                <w:sz w:val="22"/>
                <w:szCs w:val="22"/>
                <w:shd w:val="nil" w:color="auto" w:fill="auto"/>
                <w:rtl w:val="0"/>
                <w:lang w:val="en-US"/>
              </w:rPr>
              <w:t>Challenge students to generate multiple resumes from the same Brag Sheet for different purposes (college, scholarship, internship, employment, military, etc.).</w:t>
            </w:r>
          </w:p>
          <w:p>
            <w:pPr>
              <w:pStyle w:val="DSS Table Text"/>
              <w:numPr>
                <w:ilvl w:val="0"/>
                <w:numId w:val="4"/>
              </w:numPr>
              <w:bidi w:val="0"/>
              <w:ind w:right="0"/>
              <w:jc w:val="left"/>
              <w:rPr>
                <w:sz w:val="22"/>
                <w:szCs w:val="22"/>
                <w:rtl w:val="0"/>
                <w:lang w:val="en-US"/>
              </w:rPr>
            </w:pPr>
            <w:r>
              <w:rPr>
                <w:sz w:val="22"/>
                <w:szCs w:val="22"/>
                <w:shd w:val="nil" w:color="auto" w:fill="auto"/>
                <w:rtl w:val="0"/>
                <w:lang w:val="en-US"/>
              </w:rPr>
              <w:t>Have students compare AI-generated resumes from different chatbots and evaluate which is most effective.</w:t>
            </w:r>
          </w:p>
          <w:p>
            <w:pPr>
              <w:pStyle w:val="DSS Table Text"/>
              <w:numPr>
                <w:ilvl w:val="0"/>
                <w:numId w:val="4"/>
              </w:numPr>
              <w:bidi w:val="0"/>
              <w:ind w:right="0"/>
              <w:jc w:val="left"/>
              <w:rPr>
                <w:sz w:val="22"/>
                <w:szCs w:val="22"/>
                <w:rtl w:val="0"/>
                <w:lang w:val="en-US"/>
              </w:rPr>
            </w:pPr>
            <w:r>
              <w:rPr>
                <w:sz w:val="22"/>
                <w:szCs w:val="22"/>
                <w:shd w:val="nil" w:color="auto" w:fill="auto"/>
                <w:rtl w:val="0"/>
                <w:lang w:val="en-US"/>
              </w:rPr>
              <w:t>Encourage students to refine AI prompts to improve organization, tone, and customization.</w:t>
            </w:r>
          </w:p>
          <w:p>
            <w:pPr>
              <w:pStyle w:val="DSS Table Text"/>
              <w:numPr>
                <w:ilvl w:val="0"/>
                <w:numId w:val="4"/>
              </w:numPr>
              <w:bidi w:val="0"/>
              <w:ind w:right="0"/>
              <w:jc w:val="left"/>
              <w:rPr>
                <w:sz w:val="22"/>
                <w:szCs w:val="22"/>
                <w:rtl w:val="0"/>
                <w:lang w:val="en-US"/>
              </w:rPr>
            </w:pPr>
            <w:r>
              <w:rPr>
                <w:sz w:val="22"/>
                <w:szCs w:val="22"/>
                <w:shd w:val="nil" w:color="auto" w:fill="auto"/>
                <w:rtl w:val="0"/>
                <w:lang w:val="en-US"/>
              </w:rPr>
              <w:t>Invite students to explore ATS optimization and resume tailoring for highly competitive opportunities.</w:t>
            </w:r>
          </w:p>
        </w:tc>
      </w:tr>
    </w:tbl>
    <w:p>
      <w:pPr>
        <w:pStyle w:val="Title"/>
        <w:widowControl w:val="0"/>
        <w:pBdr>
          <w:top w:val="nil"/>
          <w:left w:val="nil"/>
          <w:bottom w:val="nil"/>
          <w:right w:val="nil"/>
        </w:pBdr>
      </w:pPr>
    </w:p>
    <w:p>
      <w:pPr>
        <w:pStyle w:val="Subtitle"/>
      </w:pPr>
    </w:p>
    <w:p>
      <w:pPr>
        <w:pStyle w:val="Subtitle"/>
      </w:pPr>
      <w:r>
        <w:rPr>
          <w:rtl w:val="0"/>
          <w:lang w:val="en-US"/>
        </w:rPr>
        <w:t>POSSIBLE EXTENSION ACTIVITY</w:t>
      </w:r>
    </w:p>
    <w:p>
      <w:pPr>
        <w:pStyle w:val="Body"/>
      </w:pPr>
      <w:r>
        <w:rPr>
          <w:rtl w:val="0"/>
          <w:lang w:val="en-US"/>
        </w:rPr>
        <w:t>Invite representatives from local businesses, colleges, apprenticeship programs, military recruiters, or human resources professionals to participate in a Resume Review &amp; Career Readiness Panel. Students rotate among reviewers or participate in brief individual coaching sessions, receiving authentic feedback on their resumes and discussing how resumes differ for various postsecondary pathways. Encourage presenters to explain what they look for when reviewing resumes, common mistakes applicants make, and how students can continue strengthening their resumes throughout high school.</w:t>
      </w:r>
    </w:p>
    <w:sectPr>
      <w:headerReference w:type="default" r:id="rId4"/>
      <w:footerReference w:type="default" r:id="rId5"/>
      <w:pgSz w:w="12240" w:h="15840" w:orient="portrait"/>
      <w:pgMar w:top="1040" w:right="1440" w:bottom="800" w:left="1440" w:header="36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rtl w:val="0"/>
        <w14:textFill>
          <w14:solidFill>
            <w14:srgbClr w14:val="1D4289"/>
          </w14:solidFill>
        </w14:textFill>
      </w:rPr>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Open Sans" w:cs="Open Sans" w:hAnsi="Open Sans" w:eastAsia="Open Sans"/>
        <w:b w:val="1"/>
        <w:bCs w:val="1"/>
        <w:outline w:val="0"/>
        <w:color w:val="1d4289"/>
        <w:sz w:val="17"/>
        <w:szCs w:val="17"/>
        <w:u w:color="1d4289"/>
        <w:rtl w:val="0"/>
        <w:lang w:val="en-US"/>
        <w14:textFill>
          <w14:solidFill>
            <w14:srgbClr w14:val="1D4289"/>
          </w14:solidFill>
        </w14:textFill>
      </w:rPr>
      <w:t>DIFFERENTIATION &amp; EXTENSION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8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19"/>
      <w:szCs w:val="19"/>
      <w:u w:val="none" w:color="202a35"/>
      <w:shd w:val="nil" w:color="auto" w:fill="auto"/>
      <w:vertAlign w:val="baseline"/>
      <w14:textOutline>
        <w14:noFill/>
      </w14:textOutline>
      <w14:textFill>
        <w14:solidFill>
          <w14:srgbClr w14:val="202A35"/>
        </w14:solidFill>
      </w14:textFill>
    </w:rPr>
  </w:style>
  <w:style w:type="paragraph" w:styleId="Title">
    <w:name w:val="Title"/>
    <w:next w:val="Body"/>
    <w:pPr>
      <w:keepNext w:val="1"/>
      <w:keepLines w:val="0"/>
      <w:pageBreakBefore w:val="0"/>
      <w:widowControl w:val="1"/>
      <w:pBdr>
        <w:top w:val="nil"/>
        <w:left w:val="nil"/>
        <w:bottom w:val="single" w:color="ff6720" w:sz="18" w:space="0" w:shadow="0" w:frame="0"/>
        <w:right w:val="nil"/>
      </w:pBdr>
      <w:shd w:val="clear" w:color="auto" w:fill="auto"/>
      <w:suppressAutoHyphens w:val="0"/>
      <w:bidi w:val="0"/>
      <w:spacing w:before="160" w:after="200" w:line="240" w:lineRule="auto"/>
      <w:ind w:left="0" w:right="0" w:firstLine="0"/>
      <w:jc w:val="left"/>
      <w:outlineLvl w:val="9"/>
    </w:pPr>
    <w:rPr>
      <w:rFonts w:ascii="Open Sans" w:cs="Open Sans" w:hAnsi="Open Sans" w:eastAsia="Open Sans"/>
      <w:b w:val="1"/>
      <w:bCs w:val="1"/>
      <w:i w:val="0"/>
      <w:iCs w:val="0"/>
      <w:caps w:val="0"/>
      <w:smallCaps w:val="0"/>
      <w:strike w:val="0"/>
      <w:dstrike w:val="0"/>
      <w:outline w:val="0"/>
      <w:color w:val="1d4289"/>
      <w:spacing w:val="0"/>
      <w:kern w:val="0"/>
      <w:position w:val="0"/>
      <w:sz w:val="48"/>
      <w:szCs w:val="48"/>
      <w:u w:val="none" w:color="1d4289"/>
      <w:shd w:val="nil" w:color="auto" w:fill="auto"/>
      <w:vertAlign w:val="baseline"/>
      <w:lang w:val="en-US"/>
      <w14:textOutline>
        <w14:noFill/>
      </w14:textOutline>
      <w14:textFill>
        <w14:solidFill>
          <w14:srgbClr w14:val="1D4289"/>
        </w14:solidFill>
      </w14:textFill>
    </w:rPr>
  </w:style>
  <w:style w:type="paragraph" w:styleId="DSS Table Text">
    <w:name w:val="DSS Table Text"/>
    <w:next w:val="DSS Table Text"/>
    <w:pPr>
      <w:keepNext w:val="0"/>
      <w:keepLines w:val="0"/>
      <w:pageBreakBefore w:val="0"/>
      <w:widowControl w:val="1"/>
      <w:shd w:val="clear" w:color="auto" w:fill="auto"/>
      <w:suppressAutoHyphens w:val="0"/>
      <w:bidi w:val="0"/>
      <w:spacing w:before="0" w:after="3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16"/>
      <w:szCs w:val="16"/>
      <w:u w:val="none" w:color="202a35"/>
      <w:shd w:val="nil" w:color="auto" w:fill="auto"/>
      <w:vertAlign w:val="baseline"/>
      <w:lang w:val="en-US"/>
      <w14:textFill>
        <w14:solidFill>
          <w14:srgbClr w14:val="202A35"/>
        </w14:solidFill>
      </w14:textFill>
    </w:rPr>
  </w:style>
  <w:style w:type="paragraph" w:styleId="Subtitle">
    <w:name w:val="Subtitle"/>
    <w:next w:val="Body"/>
    <w:pPr>
      <w:keepNext w:val="0"/>
      <w:keepLines w:val="0"/>
      <w:pageBreakBefore w:val="0"/>
      <w:widowControl w:val="1"/>
      <w:shd w:val="clear" w:color="auto" w:fill="auto"/>
      <w:suppressAutoHyphens w:val="0"/>
      <w:bidi w:val="0"/>
      <w:spacing w:before="0" w:after="240" w:line="240" w:lineRule="auto"/>
      <w:ind w:left="0" w:right="0" w:firstLine="0"/>
      <w:jc w:val="left"/>
      <w:outlineLvl w:val="9"/>
    </w:pPr>
    <w:rPr>
      <w:rFonts w:ascii="Open Sans" w:cs="Open Sans" w:hAnsi="Open Sans" w:eastAsia="Open Sans"/>
      <w:b w:val="0"/>
      <w:bCs w:val="0"/>
      <w:i w:val="1"/>
      <w:iCs w:val="1"/>
      <w:caps w:val="0"/>
      <w:smallCaps w:val="0"/>
      <w:strike w:val="0"/>
      <w:dstrike w:val="0"/>
      <w:outline w:val="0"/>
      <w:color w:val="5b6770"/>
      <w:spacing w:val="0"/>
      <w:kern w:val="0"/>
      <w:position w:val="0"/>
      <w:sz w:val="26"/>
      <w:szCs w:val="26"/>
      <w:u w:val="none" w:color="5b6770"/>
      <w:shd w:val="nil" w:color="auto" w:fill="auto"/>
      <w:vertAlign w:val="baseline"/>
      <w:lang w:val="en-US"/>
      <w14:textOutline>
        <w14:noFill/>
      </w14:textOutline>
      <w14:textFill>
        <w14:solidFill>
          <w14:srgbClr w14:val="5B677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Open Sans"/>
        <a:ea typeface="Open Sans"/>
        <a:cs typeface="Open Sans"/>
      </a:majorFont>
      <a:minorFont>
        <a:latin typeface="Open Sans"/>
        <a:ea typeface="Open Sans"/>
        <a:cs typeface="Open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