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Choosing to Enlist: Differentiations &amp; Extension</w:t>
      </w:r>
    </w:p>
    <w:tbl>
      <w:tblPr>
        <w:tblW w:w="86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783"/>
        <w:gridCol w:w="6857"/>
      </w:tblGrid>
      <w:tr>
        <w:tblPrEx>
          <w:shd w:val="clear" w:color="auto" w:fill="ced7e7"/>
        </w:tblPrEx>
        <w:trPr>
          <w:trHeight w:val="535" w:hRule="atLeast"/>
        </w:trPr>
        <w:tc>
          <w:tcPr>
            <w:tcW w:type="dxa" w:w="1783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b w:val="1"/>
                <w:bCs w:val="1"/>
                <w:outline w:val="0"/>
                <w:color w:val="1d4289"/>
                <w:sz w:val="22"/>
                <w:szCs w:val="22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LEARNING CONTEXT</w:t>
            </w:r>
          </w:p>
        </w:tc>
        <w:tc>
          <w:tcPr>
            <w:tcW w:type="dxa" w:w="685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APPROACHES</w:t>
            </w:r>
          </w:p>
        </w:tc>
      </w:tr>
      <w:tr>
        <w:tblPrEx>
          <w:shd w:val="clear" w:color="auto" w:fill="ced7e7"/>
        </w:tblPrEx>
        <w:trPr>
          <w:trHeight w:val="1575" w:hRule="atLeast"/>
        </w:trPr>
        <w:tc>
          <w:tcPr>
            <w:tcW w:type="dxa" w:w="1783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22"/>
                <w:szCs w:val="22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Anxiety</w:t>
            </w:r>
          </w:p>
        </w:tc>
        <w:tc>
          <w:tcPr>
            <w:tcW w:type="dxa" w:w="685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Emphasize that the workshop is designed to explore military service, not persuade students to enlist.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Allow students to reflect independently before participating in discussions.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Offer the option to complete workbook reflections privately rather than sharing aloud.</w:t>
            </w:r>
          </w:p>
        </w:tc>
      </w:tr>
      <w:tr>
        <w:tblPrEx>
          <w:shd w:val="clear" w:color="auto" w:fill="ced7e7"/>
        </w:tblPrEx>
        <w:trPr>
          <w:trHeight w:val="1315" w:hRule="atLeast"/>
        </w:trPr>
        <w:tc>
          <w:tcPr>
            <w:tcW w:type="dxa" w:w="1783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22"/>
                <w:szCs w:val="22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MLL</w:t>
            </w:r>
          </w:p>
        </w:tc>
        <w:tc>
          <w:tcPr>
            <w:tcW w:type="dxa" w:w="685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Pre-teach vocabulary (enlistment, recruiter, ASVAB, Active Duty, Reserve, National Guard, deployment).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Allow students to discuss ideas or complete reflections in their home language before sharing.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Pair written information with visuals, icons, and QR codes.</w:t>
            </w:r>
          </w:p>
        </w:tc>
      </w:tr>
      <w:tr>
        <w:tblPrEx>
          <w:shd w:val="clear" w:color="auto" w:fill="ced7e7"/>
        </w:tblPrEx>
        <w:trPr>
          <w:trHeight w:val="1575" w:hRule="atLeast"/>
        </w:trPr>
        <w:tc>
          <w:tcPr>
            <w:tcW w:type="dxa" w:w="1783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df2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22"/>
                <w:szCs w:val="22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IEP/504</w:t>
            </w:r>
          </w:p>
        </w:tc>
        <w:tc>
          <w:tcPr>
            <w:tcW w:type="dxa" w:w="685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Provide additional processing time for workbook activities.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Reduce the number of reflection questions as needed.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Offer sentence starters, graphic organizers, or partner support during discussions.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Permit oral responses in place of written responses when appropriate.</w:t>
            </w:r>
          </w:p>
        </w:tc>
      </w:tr>
      <w:tr>
        <w:tblPrEx>
          <w:shd w:val="clear" w:color="auto" w:fill="ced7e7"/>
        </w:tblPrEx>
        <w:trPr>
          <w:trHeight w:val="1575" w:hRule="atLeast"/>
        </w:trPr>
        <w:tc>
          <w:tcPr>
            <w:tcW w:type="dxa" w:w="1783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e8f7f8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1d4289"/>
                <w:sz w:val="22"/>
                <w:szCs w:val="22"/>
                <w:u w:color="1d4289"/>
                <w:shd w:val="nil" w:color="auto" w:fill="auto"/>
                <w:rtl w:val="0"/>
                <w:lang w:val="en-US"/>
                <w14:textFill>
                  <w14:solidFill>
                    <w14:srgbClr w14:val="1D4289"/>
                  </w14:solidFill>
                </w14:textFill>
              </w:rPr>
              <w:t>Advanced</w:t>
            </w:r>
          </w:p>
        </w:tc>
        <w:tc>
          <w:tcPr>
            <w:tcW w:type="dxa" w:w="6857"/>
            <w:tcBorders>
              <w:top w:val="single" w:color="b9c7d8" w:sz="6" w:space="0" w:shadow="0" w:frame="0"/>
              <w:left w:val="single" w:color="b9c7d8" w:sz="6" w:space="0" w:shadow="0" w:frame="0"/>
              <w:bottom w:val="single" w:color="b9c7d8" w:sz="6" w:space="0" w:shadow="0" w:frame="0"/>
              <w:right w:val="single" w:color="b9c7d8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SS Table Text"/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Challenge students to compare military service with another postsecondary pathway (college, apprenticeship, employment, etc.).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Invite students to research a specific military career and identify how its skills transfer to civilian employment.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br w:type="textWrapping"/>
              <w:t xml:space="preserve">•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Encourage students to investigate officer pathways, ROTC, service academies, or specialized career fields.</w:t>
            </w:r>
          </w:p>
        </w:tc>
      </w:tr>
    </w:tbl>
    <w:p>
      <w:pPr>
        <w:pStyle w:val="Title"/>
        <w:widowControl w:val="0"/>
        <w:pBdr>
          <w:top w:val="nil"/>
          <w:left w:val="nil"/>
          <w:bottom w:val="nil"/>
          <w:right w:val="nil"/>
        </w:pBdr>
      </w:pPr>
    </w:p>
    <w:p>
      <w:pPr>
        <w:pStyle w:val="Subtitle"/>
      </w:pPr>
    </w:p>
    <w:p>
      <w:pPr>
        <w:pStyle w:val="Subtitle"/>
      </w:pPr>
      <w:r>
        <w:rPr>
          <w:rtl w:val="0"/>
          <w:lang w:val="en-US"/>
        </w:rPr>
        <w:t>POSSIBLE EXTENSION ACTIVITY</w:t>
      </w:r>
    </w:p>
    <w:p>
      <w:pPr>
        <w:pStyle w:val="Body"/>
      </w:pPr>
      <w:r>
        <w:rPr>
          <w:rtl w:val="0"/>
          <w:lang w:val="en-US"/>
        </w:rPr>
        <w:t xml:space="preserve">Invite representatives from multiple military branches, veterans, ROTC programs, the National Guard, or reserve components to participate in a Military Career Exploration Panel. Students rotate among stations or participate in a moderated Q&amp;A, asking questions they developed during the workshop. Encourage presenters to discuss career opportunities, education benefits, daily life, transferable skills, and factors students should consider before enlisting. </w:t>
      </w:r>
    </w:p>
    <w:sectPr>
      <w:headerReference w:type="default" r:id="rId4"/>
      <w:footerReference w:type="default" r:id="rId5"/>
      <w:pgSz w:w="12240" w:h="15840" w:orient="portrait"/>
      <w:pgMar w:top="1040" w:right="1440" w:bottom="800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DIFFERENTIATION &amp; EXTENSION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9"/>
      <w:szCs w:val="19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DSS Table Text">
    <w:name w:val="DSS Table Text"/>
    <w:next w:val="DSS Tabl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16"/>
      <w:szCs w:val="16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1"/>
      <w:iCs w:val="1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