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76" w:lineRule="auto"/>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pPr>
    </w:p>
    <w:tbl>
      <w:tblPr>
        <w:tblW w:w="95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40"/>
        <w:gridCol w:w="210"/>
        <w:gridCol w:w="420"/>
        <w:gridCol w:w="2885"/>
        <w:gridCol w:w="160"/>
        <w:gridCol w:w="240"/>
        <w:gridCol w:w="1440"/>
        <w:gridCol w:w="1655"/>
        <w:gridCol w:w="160"/>
      </w:tblGrid>
      <w:tr>
        <w:tblPrEx>
          <w:shd w:val="clear" w:color="auto" w:fill="ced7e7"/>
        </w:tblPrEx>
        <w:trPr>
          <w:trHeight w:val="38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School Name</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Open Sans" w:cs="Open Sans" w:hAnsi="Open Sans" w:eastAsia="Open Sans"/>
                <w:shd w:val="nil" w:color="auto" w:fill="auto"/>
                <w:rtl w:val="0"/>
                <w:lang w:val="en-US"/>
              </w:rPr>
              <w:t>Type here</w:t>
            </w:r>
          </w:p>
        </w:tc>
      </w:tr>
      <w:tr>
        <w:tblPrEx>
          <w:shd w:val="clear" w:color="auto" w:fill="ced7e7"/>
        </w:tblPrEx>
        <w:trPr>
          <w:trHeight w:val="60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School Counselor Name</w:t>
            </w:r>
          </w:p>
        </w:tc>
        <w:tc>
          <w:tcPr>
            <w:tcW w:type="dxa" w:w="3915"/>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Open Sans" w:cs="Open Sans" w:hAnsi="Open Sans" w:eastAsia="Open Sans"/>
                <w:shd w:val="nil" w:color="auto" w:fill="auto"/>
                <w:rtl w:val="0"/>
                <w:lang w:val="en-US"/>
              </w:rPr>
              <w:t>Type here</w:t>
            </w:r>
          </w:p>
        </w:tc>
        <w:tc>
          <w:tcPr>
            <w:tcW w:type="dxa" w:w="14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ind w:firstLine="67"/>
            </w:pPr>
            <w:r>
              <w:rPr>
                <w:rFonts w:ascii="Aptos" w:cs="Aptos" w:hAnsi="Aptos" w:eastAsia="Aptos"/>
                <w:b w:val="1"/>
                <w:bCs w:val="1"/>
                <w:sz w:val="20"/>
                <w:szCs w:val="20"/>
                <w:shd w:val="nil" w:color="auto" w:fill="auto"/>
                <w:rtl w:val="0"/>
                <w:lang w:val="en-US"/>
              </w:rPr>
              <w:t>School Year</w:t>
            </w:r>
          </w:p>
        </w:tc>
        <w:tc>
          <w:tcPr>
            <w:tcW w:type="dxa" w:w="1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Open Sans" w:cs="Open Sans" w:hAnsi="Open Sans" w:eastAsia="Open Sans"/>
                <w:shd w:val="nil" w:color="auto" w:fill="auto"/>
                <w:rtl w:val="0"/>
                <w:lang w:val="en-US"/>
              </w:rPr>
              <w:t>Type here</w:t>
            </w:r>
          </w:p>
        </w:tc>
      </w:tr>
      <w:tr>
        <w:tblPrEx>
          <w:shd w:val="clear" w:color="auto" w:fill="ced7e7"/>
        </w:tblPrEx>
        <w:trPr>
          <w:trHeight w:val="36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Lesson Title/Topic</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Fonts w:ascii="Aptos" w:cs="Aptos" w:hAnsi="Aptos" w:eastAsia="Aptos"/>
                <w:sz w:val="20"/>
                <w:szCs w:val="20"/>
                <w:shd w:val="nil" w:color="auto" w:fill="auto"/>
                <w:rtl w:val="0"/>
                <w:lang w:val="en-US"/>
              </w:rPr>
              <w:t>Choosing to Enlist</w:t>
            </w:r>
          </w:p>
        </w:tc>
      </w:tr>
      <w:tr>
        <w:tblPrEx>
          <w:shd w:val="clear" w:color="auto" w:fill="ced7e7"/>
        </w:tblPrEx>
        <w:trPr>
          <w:trHeight w:val="36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Participants</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Aptos" w:cs="Aptos" w:hAnsi="Aptos" w:eastAsia="Aptos"/>
                <w:sz w:val="20"/>
                <w:szCs w:val="20"/>
                <w:shd w:val="nil" w:color="auto" w:fill="auto"/>
                <w:rtl w:val="0"/>
                <w:lang w:val="en-US"/>
              </w:rPr>
              <w:t>Grades 11-12</w:t>
            </w:r>
          </w:p>
        </w:tc>
      </w:tr>
      <w:tr>
        <w:tblPrEx>
          <w:shd w:val="clear" w:color="auto" w:fill="ced7e7"/>
        </w:tblPrEx>
        <w:trPr>
          <w:trHeight w:val="1497"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 xml:space="preserve">Setting </w:t>
            </w:r>
            <w:r>
              <w:rPr>
                <w:rFonts w:ascii="Aptos" w:cs="Aptos" w:hAnsi="Aptos" w:eastAsia="Aptos"/>
                <w:b w:val="1"/>
                <w:bCs w:val="1"/>
                <w:sz w:val="20"/>
                <w:szCs w:val="20"/>
                <w:shd w:val="nil" w:color="auto" w:fill="auto"/>
                <w:rtl w:val="0"/>
                <w:lang w:val="en-US"/>
              </w:rPr>
              <w:t xml:space="preserve">– </w:t>
            </w:r>
            <w:r>
              <w:rPr>
                <w:rFonts w:ascii="Aptos" w:cs="Aptos" w:hAnsi="Aptos" w:eastAsia="Aptos"/>
                <w:b w:val="0"/>
                <w:bCs w:val="0"/>
                <w:sz w:val="20"/>
                <w:szCs w:val="20"/>
                <w:shd w:val="nil" w:color="auto" w:fill="auto"/>
                <w:rtl w:val="0"/>
                <w:lang w:val="en-US"/>
              </w:rPr>
              <w:t>Lesson(s) will be delivered in</w:t>
            </w:r>
            <w:r>
              <w:rPr>
                <w:rFonts w:ascii="Aptos" w:cs="Aptos" w:hAnsi="Aptos" w:eastAsia="Aptos"/>
                <w:b w:val="1"/>
                <w:bCs w:val="1"/>
                <w:sz w:val="20"/>
                <w:szCs w:val="20"/>
                <w:shd w:val="nil" w:color="auto" w:fill="auto"/>
                <w:rtl w:val="0"/>
                <w:lang w:val="en-US"/>
              </w:rPr>
              <w:t>:</w:t>
            </w:r>
          </w:p>
        </w:tc>
        <w:tc>
          <w:tcPr>
            <w:tcW w:type="dxa" w:w="7170"/>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72"/>
              <w:rPr>
                <w:rFonts w:ascii="Aptos" w:cs="Aptos" w:hAnsi="Aptos" w:eastAsia="Aptos"/>
                <w:sz w:val="20"/>
                <w:szCs w:val="20"/>
                <w:shd w:val="nil" w:color="auto" w:fill="auto"/>
              </w:rPr>
            </w:pPr>
            <w:r>
              <w:rPr>
                <w:rFonts w:ascii="MS Gothic" w:cs="MS Gothic" w:hAnsi="MS Gothic" w:eastAsia="MS Gothic"/>
                <w:sz w:val="24"/>
                <w:szCs w:val="24"/>
                <w:shd w:val="nil" w:color="auto" w:fill="auto"/>
                <w:rtl w:val="0"/>
                <w:lang w:val="en-US"/>
              </w:rPr>
              <w:t>☐</w:t>
            </w:r>
            <w:r>
              <w:rPr>
                <w:rFonts w:ascii="Aptos" w:cs="Aptos" w:hAnsi="Aptos" w:eastAsia="Aptos"/>
                <w:sz w:val="22"/>
                <w:szCs w:val="22"/>
                <w:shd w:val="nil" w:color="auto" w:fill="auto"/>
                <w:rtl w:val="0"/>
                <w:lang w:val="en-US"/>
              </w:rPr>
              <w:t xml:space="preserve"> </w:t>
            </w:r>
            <w:r>
              <w:rPr>
                <w:rFonts w:ascii="Aptos" w:cs="Aptos" w:hAnsi="Aptos" w:eastAsia="Aptos"/>
                <w:sz w:val="20"/>
                <w:szCs w:val="20"/>
                <w:shd w:val="nil" w:color="auto" w:fill="auto"/>
                <w:rtl w:val="0"/>
                <w:lang w:val="en-US"/>
              </w:rPr>
              <w:t>Classroom (Tier 1 whole-class instruction or Tier 2 specific classroom )</w:t>
            </w:r>
          </w:p>
          <w:p>
            <w:pPr>
              <w:pStyle w:val="Body"/>
              <w:widowControl w:val="1"/>
              <w:bidi w:val="0"/>
              <w:ind w:left="0" w:right="0" w:firstLine="72"/>
              <w:jc w:val="left"/>
              <w:rPr>
                <w:rFonts w:ascii="Aptos" w:cs="Aptos" w:hAnsi="Aptos" w:eastAsia="Aptos"/>
                <w:sz w:val="20"/>
                <w:szCs w:val="20"/>
                <w:shd w:val="nil" w:color="auto" w:fill="auto"/>
                <w:rtl w:val="0"/>
              </w:rPr>
            </w:pPr>
            <w:r>
              <w:rPr>
                <w:rFonts w:ascii="Noto Sans Symbols" w:cs="Noto Sans Symbols" w:hAnsi="Noto Sans Symbols" w:eastAsia="Noto Sans Symbols"/>
                <w:sz w:val="24"/>
                <w:szCs w:val="24"/>
                <w:shd w:val="nil" w:color="auto" w:fill="auto"/>
                <w:rtl w:val="0"/>
                <w:lang w:val="en-US"/>
              </w:rPr>
              <w:t>⌧</w:t>
            </w:r>
            <w:r>
              <w:rPr>
                <w:rFonts w:ascii="Aptos" w:cs="Aptos" w:hAnsi="Aptos" w:eastAsia="Aptos"/>
                <w:sz w:val="20"/>
                <w:szCs w:val="20"/>
                <w:shd w:val="nil" w:color="auto" w:fill="auto"/>
                <w:rtl w:val="0"/>
                <w:lang w:val="en-US"/>
              </w:rPr>
              <w:t xml:space="preserve"> Large Group  (grade-level or multi-class instruction)  </w:t>
            </w:r>
          </w:p>
          <w:p>
            <w:pPr>
              <w:pStyle w:val="Body"/>
              <w:widowControl w:val="1"/>
              <w:bidi w:val="0"/>
              <w:ind w:left="0" w:right="0" w:firstLine="72"/>
              <w:jc w:val="left"/>
              <w:rPr>
                <w:rFonts w:ascii="Aptos" w:cs="Aptos" w:hAnsi="Aptos" w:eastAsia="Aptos"/>
                <w:shd w:val="nil" w:color="auto" w:fill="auto"/>
                <w:rtl w:val="0"/>
              </w:rPr>
            </w:pPr>
            <w:r>
              <w:rPr>
                <w:rFonts w:ascii="MS Gothic" w:cs="MS Gothic" w:hAnsi="MS Gothic" w:eastAsia="MS Gothic"/>
                <w:sz w:val="24"/>
                <w:szCs w:val="24"/>
                <w:shd w:val="nil" w:color="auto" w:fill="auto"/>
                <w:rtl w:val="0"/>
                <w:lang w:val="en-US"/>
              </w:rPr>
              <w:t>☐</w:t>
            </w:r>
            <w:r>
              <w:rPr>
                <w:rFonts w:ascii="Aptos" w:cs="Aptos" w:hAnsi="Aptos" w:eastAsia="Aptos"/>
                <w:sz w:val="20"/>
                <w:szCs w:val="20"/>
                <w:shd w:val="nil" w:color="auto" w:fill="auto"/>
                <w:rtl w:val="0"/>
                <w:lang w:val="en-US"/>
              </w:rPr>
              <w:t xml:space="preserve">Small groups (single session delivered to a group of students, </w:t>
            </w:r>
            <w:r>
              <w:rPr>
                <w:rFonts w:ascii="Aptos" w:cs="Aptos" w:hAnsi="Aptos" w:eastAsia="Aptos"/>
                <w:sz w:val="20"/>
                <w:szCs w:val="20"/>
                <w:shd w:val="nil" w:color="auto" w:fill="auto"/>
                <w:rtl w:val="0"/>
                <w:lang w:val="en-US"/>
              </w:rPr>
              <w:br w:type="textWrapping"/>
              <w:t xml:space="preserve">            </w:t>
            </w:r>
            <w:r>
              <w:rPr>
                <w:rFonts w:ascii="Aptos" w:cs="Aptos" w:hAnsi="Aptos" w:eastAsia="Aptos"/>
                <w:sz w:val="20"/>
                <w:szCs w:val="20"/>
                <w:shd w:val="nil" w:color="auto" w:fill="auto"/>
                <w:rtl w:val="0"/>
                <w:lang w:val="en-US"/>
              </w:rPr>
              <w:t>ex., junior planning conferences)</w:t>
            </w:r>
            <w:r>
              <w:rPr>
                <w:rFonts w:ascii="Aptos" w:cs="Aptos" w:hAnsi="Aptos" w:eastAsia="Aptos"/>
                <w:shd w:val="nil" w:color="auto" w:fill="auto"/>
                <w:rtl w:val="0"/>
                <w:lang w:val="en-US"/>
              </w:rPr>
              <w:t xml:space="preserve">   </w:t>
            </w:r>
          </w:p>
          <w:p>
            <w:pPr>
              <w:pStyle w:val="Body"/>
              <w:widowControl w:val="1"/>
              <w:bidi w:val="0"/>
              <w:ind w:left="0" w:right="0" w:firstLine="72"/>
              <w:jc w:val="left"/>
              <w:rPr>
                <w:rtl w:val="0"/>
              </w:rPr>
            </w:pPr>
            <w:r>
              <w:rPr>
                <w:rFonts w:ascii="MS Gothic" w:cs="MS Gothic" w:hAnsi="MS Gothic" w:eastAsia="MS Gothic"/>
                <w:sz w:val="24"/>
                <w:szCs w:val="24"/>
                <w:shd w:val="nil" w:color="auto" w:fill="auto"/>
                <w:rtl w:val="0"/>
                <w:lang w:val="en-US"/>
              </w:rPr>
              <w:t>☐</w:t>
            </w:r>
            <w:r>
              <w:rPr>
                <w:rFonts w:ascii="Aptos" w:cs="Aptos" w:hAnsi="Aptos" w:eastAsia="Aptos"/>
                <w:sz w:val="20"/>
                <w:szCs w:val="20"/>
                <w:shd w:val="nil" w:color="auto" w:fill="auto"/>
                <w:rtl w:val="0"/>
                <w:lang w:val="en-US"/>
              </w:rPr>
              <w:t xml:space="preserve"> Individual  (one-on-one student instruction)  ex. senior credit checks       </w:t>
            </w:r>
          </w:p>
        </w:tc>
      </w:tr>
      <w:tr>
        <w:tblPrEx>
          <w:shd w:val="clear" w:color="auto" w:fill="ced7e7"/>
        </w:tblPrEx>
        <w:trPr>
          <w:trHeight w:val="2140" w:hRule="atLeast"/>
        </w:trPr>
        <w:tc>
          <w:tcPr>
            <w:tcW w:type="dxa" w:w="23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rPr>
                <w:rFonts w:ascii="Aptos" w:cs="Aptos" w:hAnsi="Aptos" w:eastAsia="Aptos"/>
                <w:sz w:val="18"/>
                <w:szCs w:val="18"/>
                <w:shd w:val="nil" w:color="auto" w:fill="auto"/>
              </w:rPr>
            </w:pPr>
            <w:r>
              <w:rPr>
                <w:rFonts w:ascii="Aptos" w:cs="Aptos" w:hAnsi="Aptos" w:eastAsia="Aptos"/>
                <w:b w:val="1"/>
                <w:bCs w:val="1"/>
                <w:sz w:val="20"/>
                <w:szCs w:val="20"/>
                <w:shd w:val="nil" w:color="auto" w:fill="auto"/>
                <w:rtl w:val="0"/>
                <w:lang w:val="en-US"/>
              </w:rPr>
              <w:t xml:space="preserve">Reason for this lesson: </w:t>
            </w:r>
            <w:r>
              <w:rPr>
                <w:rFonts w:ascii="Aptos" w:cs="Aptos" w:hAnsi="Aptos" w:eastAsia="Aptos"/>
                <w:b w:val="1"/>
                <w:bCs w:val="1"/>
                <w:sz w:val="20"/>
                <w:szCs w:val="20"/>
                <w:shd w:val="nil" w:color="auto" w:fill="auto"/>
                <w:lang w:val="en-US"/>
              </w:rPr>
              <w:br w:type="textWrapping"/>
            </w:r>
            <w:r>
              <w:rPr>
                <w:rFonts w:ascii="Aptos" w:cs="Aptos" w:hAnsi="Aptos" w:eastAsia="Aptos"/>
                <w:sz w:val="18"/>
                <w:szCs w:val="18"/>
                <w:shd w:val="nil" w:color="auto" w:fill="auto"/>
                <w:rtl w:val="0"/>
                <w:lang w:val="en-US"/>
              </w:rPr>
              <w:t>Select from each:</w:t>
            </w:r>
          </w:p>
          <w:p>
            <w:pPr>
              <w:pStyle w:val="Body"/>
              <w:widowControl w:val="1"/>
              <w:numPr>
                <w:ilvl w:val="0"/>
                <w:numId w:val="1"/>
              </w:numPr>
              <w:bidi w:val="0"/>
              <w:ind w:right="0"/>
              <w:jc w:val="left"/>
              <w:rPr>
                <w:rFonts w:ascii="Aptos" w:cs="Aptos" w:hAnsi="Aptos" w:eastAsia="Aptos"/>
                <w:b w:val="1"/>
                <w:bCs w:val="1"/>
                <w:sz w:val="18"/>
                <w:szCs w:val="18"/>
                <w:rtl w:val="0"/>
              </w:rPr>
            </w:pPr>
            <w:r>
              <w:rPr>
                <w:rStyle w:val="Hyperlink.0"/>
                <w:rFonts w:ascii="Aptos" w:cs="Aptos" w:hAnsi="Aptos" w:eastAsia="Aptos"/>
                <w:b w:val="1"/>
                <w:bCs w:val="1"/>
                <w:outline w:val="0"/>
                <w:color w:val="0000ff"/>
                <w:sz w:val="18"/>
                <w:szCs w:val="18"/>
                <w:u w:val="single" w:color="0000ff"/>
                <w:shd w:val="nil" w:color="auto" w:fill="auto"/>
                <w:lang w:val="en-US"/>
                <w14:textFill>
                  <w14:solidFill>
                    <w14:srgbClr w14:val="0000FF"/>
                  </w14:solidFill>
                </w14:textFill>
              </w:rPr>
              <w:fldChar w:fldCharType="begin" w:fldLock="0"/>
            </w:r>
            <w:r>
              <w:rPr>
                <w:rStyle w:val="Hyperlink.0"/>
                <w:rFonts w:ascii="Aptos" w:cs="Aptos" w:hAnsi="Aptos" w:eastAsia="Aptos"/>
                <w:b w:val="1"/>
                <w:bCs w:val="1"/>
                <w:outline w:val="0"/>
                <w:color w:val="0000ff"/>
                <w:sz w:val="18"/>
                <w:szCs w:val="18"/>
                <w:u w:val="single" w:color="0000ff"/>
                <w:shd w:val="nil" w:color="auto" w:fill="auto"/>
                <w:lang w:val="en-US"/>
                <w14:textFill>
                  <w14:solidFill>
                    <w14:srgbClr w14:val="0000FF"/>
                  </w14:solidFill>
                </w14:textFill>
              </w:rPr>
              <w:instrText xml:space="preserve"> HYPERLINK "https://www.schoolcounselor.org/getmedia/7428a787-a452-4abb-afec-d78ec77870cd/mindsets-behaviors.pdf"</w:instrText>
            </w:r>
            <w:r>
              <w:rPr>
                <w:rStyle w:val="Hyperlink.0"/>
                <w:rFonts w:ascii="Aptos" w:cs="Aptos" w:hAnsi="Aptos" w:eastAsia="Aptos"/>
                <w:b w:val="1"/>
                <w:bCs w:val="1"/>
                <w:outline w:val="0"/>
                <w:color w:val="0000ff"/>
                <w:sz w:val="18"/>
                <w:szCs w:val="18"/>
                <w:u w:val="single" w:color="0000ff"/>
                <w:shd w:val="nil" w:color="auto" w:fill="auto"/>
                <w:lang w:val="en-US"/>
                <w14:textFill>
                  <w14:solidFill>
                    <w14:srgbClr w14:val="0000FF"/>
                  </w14:solidFill>
                </w14:textFill>
              </w:rPr>
              <w:fldChar w:fldCharType="separate" w:fldLock="0"/>
            </w:r>
            <w:r>
              <w:rPr>
                <w:rStyle w:val="Hyperlink.0"/>
                <w:rFonts w:ascii="Aptos" w:cs="Aptos" w:hAnsi="Aptos" w:eastAsia="Aptos"/>
                <w:b w:val="1"/>
                <w:bCs w:val="1"/>
                <w:outline w:val="0"/>
                <w:color w:val="0000ff"/>
                <w:sz w:val="18"/>
                <w:szCs w:val="18"/>
                <w:u w:val="single" w:color="0000ff"/>
                <w:shd w:val="nil" w:color="auto" w:fill="auto"/>
                <w:rtl w:val="0"/>
                <w:lang w:val="en-US"/>
                <w14:textFill>
                  <w14:solidFill>
                    <w14:srgbClr w14:val="0000FF"/>
                  </w14:solidFill>
                </w14:textFill>
              </w:rPr>
              <w:t>Life-Readiness</w:t>
            </w:r>
            <w:r>
              <w:rPr>
                <w:rFonts w:ascii="Aptos" w:cs="Aptos" w:hAnsi="Aptos" w:eastAsia="Aptos"/>
                <w:b w:val="1"/>
                <w:bCs w:val="1"/>
                <w:sz w:val="20"/>
                <w:szCs w:val="20"/>
              </w:rPr>
              <w:fldChar w:fldCharType="end" w:fldLock="0"/>
            </w:r>
            <w:r>
              <w:rPr>
                <w:rStyle w:val="None"/>
                <w:rFonts w:ascii="Aptos" w:cs="Aptos" w:hAnsi="Aptos" w:eastAsia="Aptos"/>
                <w:b w:val="0"/>
                <w:bCs w:val="0"/>
                <w:sz w:val="18"/>
                <w:szCs w:val="18"/>
                <w:shd w:val="nil" w:color="auto" w:fill="auto"/>
                <w:rtl w:val="0"/>
                <w:lang w:val="en-US"/>
              </w:rPr>
              <w:t xml:space="preserve"> – </w:t>
            </w:r>
            <w:r>
              <w:rPr>
                <w:rStyle w:val="None"/>
                <w:rFonts w:ascii="Aptos" w:cs="Aptos" w:hAnsi="Aptos" w:eastAsia="Aptos"/>
                <w:b w:val="0"/>
                <w:bCs w:val="0"/>
                <w:sz w:val="18"/>
                <w:szCs w:val="18"/>
                <w:shd w:val="nil" w:color="auto" w:fill="auto"/>
                <w:rtl w:val="0"/>
                <w:lang w:val="en-US"/>
              </w:rPr>
              <w:t>select no more than one category</w:t>
            </w:r>
          </w:p>
          <w:p>
            <w:pPr>
              <w:pStyle w:val="Body"/>
              <w:widowControl w:val="1"/>
              <w:numPr>
                <w:ilvl w:val="0"/>
                <w:numId w:val="2"/>
              </w:numPr>
              <w:bidi w:val="0"/>
              <w:ind w:right="0"/>
              <w:jc w:val="left"/>
              <w:rPr>
                <w:rFonts w:ascii="Aptos" w:cs="Aptos" w:hAnsi="Aptos" w:eastAsia="Aptos"/>
                <w:b w:val="1"/>
                <w:bCs w:val="1"/>
                <w:sz w:val="18"/>
                <w:szCs w:val="18"/>
                <w:rtl w:val="0"/>
                <w:lang w:val="en-US"/>
              </w:rPr>
            </w:pPr>
            <w:r>
              <w:rPr>
                <w:rStyle w:val="None"/>
                <w:rFonts w:ascii="Aptos" w:cs="Aptos" w:hAnsi="Aptos" w:eastAsia="Aptos"/>
                <w:b w:val="1"/>
                <w:bCs w:val="1"/>
                <w:sz w:val="18"/>
                <w:szCs w:val="18"/>
                <w:shd w:val="nil" w:color="auto" w:fill="auto"/>
                <w:rtl w:val="0"/>
                <w:lang w:val="en-US"/>
              </w:rPr>
              <w:t>Academic Success</w:t>
            </w:r>
            <w:r>
              <w:rPr>
                <w:rStyle w:val="None"/>
                <w:rFonts w:ascii="Aptos" w:cs="Aptos" w:hAnsi="Aptos" w:eastAsia="Aptos"/>
                <w:b w:val="0"/>
                <w:bCs w:val="0"/>
                <w:sz w:val="18"/>
                <w:szCs w:val="18"/>
                <w:shd w:val="nil" w:color="auto" w:fill="auto"/>
                <w:rtl w:val="0"/>
                <w:lang w:val="en-US"/>
              </w:rPr>
              <w:t xml:space="preserve">  - select any category that applies</w:t>
            </w:r>
          </w:p>
        </w:tc>
        <w:tc>
          <w:tcPr>
            <w:tcW w:type="dxa" w:w="351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Life-Readiness</w:t>
            </w:r>
          </w:p>
          <w:p>
            <w:pPr>
              <w:pStyle w:val="Body"/>
              <w:widowControl w:val="1"/>
              <w:bidi w:val="0"/>
              <w:ind w:left="720" w:right="0" w:hanging="560"/>
              <w:jc w:val="left"/>
              <w:rPr>
                <w:rStyle w:val="None"/>
                <w:rFonts w:ascii="Aptos" w:cs="Aptos" w:hAnsi="Aptos" w:eastAsia="Aptos"/>
                <w:sz w:val="20"/>
                <w:szCs w:val="20"/>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Learning Strategies</w:t>
            </w:r>
          </w:p>
          <w:p>
            <w:pPr>
              <w:pStyle w:val="Body"/>
              <w:widowControl w:val="1"/>
              <w:bidi w:val="0"/>
              <w:ind w:left="720" w:right="0" w:hanging="560"/>
              <w:jc w:val="left"/>
              <w:rPr>
                <w:rStyle w:val="None"/>
                <w:rFonts w:ascii="Aptos" w:cs="Aptos" w:hAnsi="Aptos" w:eastAsia="Aptos"/>
                <w:sz w:val="20"/>
                <w:szCs w:val="20"/>
                <w:shd w:val="nil" w:color="auto" w:fill="auto"/>
                <w:rtl w:val="0"/>
              </w:rPr>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Self-Management Skills</w:t>
            </w:r>
          </w:p>
          <w:p>
            <w:pPr>
              <w:pStyle w:val="Body"/>
              <w:widowControl w:val="1"/>
              <w:bidi w:val="0"/>
              <w:ind w:left="720" w:right="0" w:hanging="560"/>
              <w:jc w:val="left"/>
              <w:rPr>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Social Skills</w:t>
            </w:r>
          </w:p>
        </w:tc>
        <w:tc>
          <w:tcPr>
            <w:tcW w:type="dxa" w:w="3655"/>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Academic Success</w:t>
            </w:r>
          </w:p>
          <w:p>
            <w:pPr>
              <w:pStyle w:val="Body"/>
              <w:widowControl w:val="1"/>
              <w:bidi w:val="0"/>
              <w:ind w:left="230" w:right="0" w:firstLine="0"/>
              <w:jc w:val="left"/>
              <w:rPr>
                <w:rStyle w:val="None"/>
                <w:rFonts w:ascii="Aptos" w:cs="Aptos" w:hAnsi="Aptos" w:eastAsia="Aptos"/>
                <w:sz w:val="20"/>
                <w:szCs w:val="20"/>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Improve academic performance</w:t>
            </w:r>
          </w:p>
          <w:p>
            <w:pPr>
              <w:pStyle w:val="Body"/>
              <w:widowControl w:val="1"/>
              <w:bidi w:val="0"/>
              <w:ind w:left="230" w:right="0" w:firstLine="0"/>
              <w:jc w:val="left"/>
              <w:rPr>
                <w:rStyle w:val="None"/>
                <w:rFonts w:ascii="Aptos" w:cs="Aptos" w:hAnsi="Aptos" w:eastAsia="Aptos"/>
                <w:sz w:val="20"/>
                <w:szCs w:val="20"/>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Meet benchmarks </w:t>
            </w:r>
          </w:p>
          <w:p>
            <w:pPr>
              <w:pStyle w:val="Body"/>
              <w:widowControl w:val="1"/>
              <w:bidi w:val="0"/>
              <w:ind w:left="230" w:right="0" w:firstLine="0"/>
              <w:jc w:val="left"/>
              <w:rPr>
                <w:rStyle w:val="None"/>
                <w:rFonts w:ascii="Aptos" w:cs="Aptos" w:hAnsi="Aptos" w:eastAsia="Aptos"/>
                <w:sz w:val="20"/>
                <w:szCs w:val="20"/>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Improve test scores</w:t>
            </w:r>
          </w:p>
          <w:p>
            <w:pPr>
              <w:pStyle w:val="Body"/>
              <w:widowControl w:val="1"/>
              <w:bidi w:val="0"/>
              <w:ind w:left="590" w:right="0" w:hanging="360"/>
              <w:jc w:val="left"/>
              <w:rPr>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Meet promotion/graduation           requirements </w:t>
            </w:r>
          </w:p>
        </w:tc>
      </w:tr>
      <w:tr>
        <w:tblPrEx>
          <w:shd w:val="clear" w:color="auto" w:fill="ced7e7"/>
        </w:tblPrEx>
        <w:trPr>
          <w:trHeight w:val="560" w:hRule="atLeast"/>
        </w:trPr>
        <w:tc>
          <w:tcPr>
            <w:tcW w:type="dxa" w:w="2970"/>
            <w:gridSpan w:val="3"/>
            <w:tcBorders>
              <w:top w:val="single" w:color="ffffff" w:sz="48" w:space="0" w:shadow="0" w:frame="0"/>
              <w:left w:val="nil"/>
              <w:bottom w:val="single" w:color="ffffff" w:sz="48" w:space="0" w:shadow="0" w:frame="0"/>
              <w:right w:val="nil"/>
            </w:tcBorders>
            <w:shd w:val="clear" w:color="auto" w:fill="f2f2f2"/>
            <w:tcMar>
              <w:top w:type="dxa" w:w="80"/>
              <w:left w:type="dxa" w:w="80"/>
              <w:bottom w:type="dxa" w:w="80"/>
              <w:right w:type="dxa" w:w="80"/>
            </w:tcMar>
            <w:vAlign w:val="top"/>
          </w:tcPr>
          <w:p>
            <w:pPr>
              <w:pStyle w:val="Body"/>
              <w:widowControl w:val="1"/>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36"/>
                <w:szCs w:val="36"/>
                <w:shd w:val="nil" w:color="auto" w:fill="auto"/>
                <w:rtl w:val="0"/>
                <w:lang w:val="en-US"/>
              </w:rPr>
              <w:t xml:space="preserve"> </w:t>
            </w:r>
            <w:r>
              <w:rPr>
                <w:rStyle w:val="None"/>
                <w:rFonts w:ascii="Aptos" w:cs="Aptos" w:hAnsi="Aptos" w:eastAsia="Aptos"/>
                <w:sz w:val="20"/>
                <w:szCs w:val="20"/>
                <w:shd w:val="nil" w:color="auto" w:fill="auto"/>
                <w:rtl w:val="0"/>
                <w:lang w:val="en-US"/>
              </w:rPr>
              <w:t>Single Lesson</w:t>
            </w:r>
            <w:r>
              <w:rPr>
                <w:rStyle w:val="None"/>
                <w:rFonts w:ascii="Aptos" w:cs="Aptos" w:hAnsi="Aptos" w:eastAsia="Aptos"/>
                <w:sz w:val="36"/>
                <w:szCs w:val="36"/>
                <w:shd w:val="nil" w:color="auto" w:fill="auto"/>
                <w:rtl w:val="0"/>
                <w:lang w:val="en-US"/>
              </w:rPr>
              <w:t xml:space="preserve">               </w:t>
            </w:r>
          </w:p>
        </w:tc>
        <w:tc>
          <w:tcPr>
            <w:tcW w:type="dxa" w:w="6380"/>
            <w:gridSpan w:val="5"/>
            <w:tcBorders>
              <w:top w:val="single" w:color="ffffff" w:sz="48" w:space="0" w:shadow="0" w:frame="0"/>
              <w:left w:val="nil"/>
              <w:bottom w:val="single" w:color="ffffff" w:sz="48" w:space="0" w:shadow="0" w:frame="0"/>
              <w:right w:val="nil"/>
            </w:tcBorders>
            <w:shd w:val="clear" w:color="auto" w:fill="f2f2f2"/>
            <w:tcMar>
              <w:top w:type="dxa" w:w="80"/>
              <w:left w:type="dxa" w:w="80"/>
              <w:bottom w:type="dxa" w:w="80"/>
              <w:right w:type="dxa" w:w="80"/>
            </w:tcMar>
            <w:vAlign w:val="top"/>
          </w:tcPr>
          <w:p>
            <w:pPr>
              <w:pStyle w:val="Body"/>
              <w:widowControl w:val="1"/>
              <w:tabs>
                <w:tab w:val="left" w:pos="860"/>
                <w:tab w:val="left" w:pos="6020"/>
                <w:tab w:val="left" w:pos="7680"/>
                <w:tab w:val="left" w:pos="8640"/>
                <w:tab w:val="left" w:pos="8690"/>
              </w:tabs>
            </w:pPr>
            <w:r>
              <w:rPr>
                <w:rStyle w:val="None"/>
                <w:rFonts w:ascii="MS Gothic" w:cs="MS Gothic" w:hAnsi="MS Gothic" w:eastAsia="MS Gothic"/>
                <w:sz w:val="24"/>
                <w:szCs w:val="24"/>
                <w:u w:val="none"/>
                <w:shd w:val="nil" w:color="auto" w:fill="auto"/>
                <w:rtl w:val="0"/>
                <w:lang w:val="en-US"/>
              </w:rPr>
              <w:t>☐</w:t>
            </w:r>
            <w:r>
              <w:rPr>
                <w:rStyle w:val="None"/>
                <w:rFonts w:ascii="Aptos" w:cs="Aptos" w:hAnsi="Aptos" w:eastAsia="Aptos"/>
                <w:sz w:val="36"/>
                <w:szCs w:val="36"/>
                <w:u w:val="none"/>
                <w:shd w:val="nil" w:color="auto" w:fill="auto"/>
                <w:rtl w:val="0"/>
                <w:lang w:val="en-US"/>
              </w:rPr>
              <w:t xml:space="preserve">  </w:t>
            </w:r>
            <w:r>
              <w:rPr>
                <w:rStyle w:val="None"/>
                <w:rFonts w:ascii="Aptos" w:cs="Aptos" w:hAnsi="Aptos" w:eastAsia="Aptos"/>
                <w:sz w:val="20"/>
                <w:szCs w:val="20"/>
                <w:u w:val="none"/>
                <w:shd w:val="nil" w:color="auto" w:fill="auto"/>
                <w:rtl w:val="0"/>
                <w:lang w:val="en-US"/>
              </w:rPr>
              <w:t>Unit of Lessons</w:t>
            </w:r>
            <w:r>
              <w:rPr>
                <w:rStyle w:val="None"/>
                <w:rFonts w:ascii="Aptos" w:cs="Aptos" w:hAnsi="Aptos" w:eastAsia="Aptos"/>
                <w:sz w:val="22"/>
                <w:szCs w:val="22"/>
                <w:u w:val="none"/>
                <w:shd w:val="nil" w:color="auto" w:fill="auto"/>
                <w:rtl w:val="0"/>
                <w:lang w:val="en-US"/>
              </w:rPr>
              <w:t xml:space="preserve">:    </w:t>
            </w:r>
            <w:r>
              <w:rPr>
                <w:rStyle w:val="None"/>
                <w:rFonts w:ascii="Aptos" w:cs="Aptos" w:hAnsi="Aptos" w:eastAsia="Aptos"/>
                <w:sz w:val="20"/>
                <w:szCs w:val="20"/>
                <w:u w:val="none"/>
                <w:shd w:val="nil" w:color="auto" w:fill="auto"/>
                <w:rtl w:val="0"/>
                <w:lang w:val="en-US"/>
              </w:rPr>
              <w:t xml:space="preserve">Lesson </w:t>
            </w:r>
            <w:r>
              <w:rPr>
                <w:rStyle w:val="None"/>
                <w:rFonts w:ascii="Open Sans" w:cs="Open Sans" w:hAnsi="Open Sans" w:eastAsia="Open Sans"/>
                <w:sz w:val="22"/>
                <w:szCs w:val="22"/>
                <w:u w:val="none"/>
                <w:shd w:val="nil" w:color="auto" w:fill="auto"/>
                <w:rtl w:val="0"/>
                <w:lang w:val="en-US"/>
              </w:rPr>
              <w:t>Type here</w:t>
            </w:r>
            <w:r>
              <w:rPr>
                <w:rStyle w:val="None"/>
                <w:rFonts w:ascii="Aptos" w:cs="Aptos" w:hAnsi="Aptos" w:eastAsia="Aptos"/>
                <w:sz w:val="20"/>
                <w:szCs w:val="20"/>
                <w:u w:val="none"/>
                <w:shd w:val="nil" w:color="auto" w:fill="auto"/>
                <w:rtl w:val="0"/>
                <w:lang w:val="en-US"/>
              </w:rPr>
              <w:t xml:space="preserve">  of </w:t>
            </w:r>
            <w:r>
              <w:rPr>
                <w:rStyle w:val="None"/>
                <w:rFonts w:ascii="Open Sans" w:cs="Open Sans" w:hAnsi="Open Sans" w:eastAsia="Open Sans"/>
                <w:sz w:val="22"/>
                <w:szCs w:val="22"/>
                <w:u w:val="none"/>
                <w:shd w:val="nil" w:color="auto" w:fill="auto"/>
                <w:rtl w:val="0"/>
                <w:lang w:val="en-US"/>
              </w:rPr>
              <w:t>Type here</w:t>
            </w:r>
            <w:r>
              <w:rPr>
                <w:rStyle w:val="None"/>
                <w:rFonts w:ascii="Aptos" w:cs="Aptos" w:hAnsi="Aptos" w:eastAsia="Aptos"/>
                <w:sz w:val="22"/>
                <w:szCs w:val="22"/>
                <w:u w:val="none"/>
                <w:shd w:val="nil" w:color="auto" w:fill="auto"/>
                <w:lang w:val="en-US"/>
              </w:rPr>
              <w:tab/>
            </w:r>
            <w:r>
              <w:rPr>
                <w:rStyle w:val="None"/>
                <w:rFonts w:ascii="Aptos" w:cs="Aptos" w:hAnsi="Aptos" w:eastAsia="Aptos"/>
                <w:sz w:val="22"/>
                <w:szCs w:val="22"/>
                <w:u w:val="single"/>
                <w:shd w:val="nil" w:color="auto" w:fill="auto"/>
                <w:rtl w:val="0"/>
                <w:lang w:val="en-US"/>
              </w:rPr>
              <w:t xml:space="preserve">                         </w:t>
            </w:r>
          </w:p>
        </w:tc>
        <w:tc>
          <w:tcPr>
            <w:tcW w:type="dxa" w:w="160"/>
            <w:tcBorders>
              <w:top w:val="single" w:color="ffffff" w:sz="48" w:space="0" w:shadow="0" w:frame="0"/>
              <w:left w:val="nil"/>
              <w:bottom w:val="single" w:color="ffffff" w:sz="48"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618" w:hRule="atLeast"/>
        </w:trPr>
        <w:tc>
          <w:tcPr>
            <w:tcW w:type="dxa" w:w="9510"/>
            <w:gridSpan w:val="9"/>
            <w:tcBorders>
              <w:top w:val="single" w:color="ffffff" w:sz="48" w:space="0" w:shadow="0" w:frame="0"/>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2f2f2"/>
                <w:sz w:val="24"/>
                <w:szCs w:val="24"/>
                <w:u w:color="f2f2f2"/>
                <w:shd w:val="nil" w:color="auto" w:fill="auto"/>
                <w:lang w:val="en-US"/>
                <w14:textFill>
                  <w14:solidFill>
                    <w14:srgbClr w14:val="F2F2F2"/>
                  </w14:solidFill>
                </w14:textFill>
              </w:rPr>
              <w:drawing xmlns:a="http://schemas.openxmlformats.org/drawingml/2006/main">
                <wp:inline distT="0" distB="0" distL="0" distR="0">
                  <wp:extent cx="5689473" cy="303925"/>
                  <wp:effectExtent l="0" t="0" r="0" b="0"/>
                  <wp:docPr id="1073741827" name="officeArt object" descr="ASCA Student Standards, Objectives and Assessment Items for Lesson"/>
                  <wp:cNvGraphicFramePr/>
                  <a:graphic xmlns:a="http://schemas.openxmlformats.org/drawingml/2006/main">
                    <a:graphicData uri="http://schemas.openxmlformats.org/drawingml/2006/picture">
                      <pic:pic xmlns:pic="http://schemas.openxmlformats.org/drawingml/2006/picture">
                        <pic:nvPicPr>
                          <pic:cNvPr id="1073741827" name="ASCA Student Standards, Objectives and Assessment Items for Lesson" descr="ASCA Student Standards, Objectives and Assessment Items for Lesson"/>
                          <pic:cNvPicPr>
                            <a:picLocks noChangeAspect="1"/>
                          </pic:cNvPicPr>
                        </pic:nvPicPr>
                        <pic:blipFill>
                          <a:blip r:embed="rId4">
                            <a:extLst/>
                          </a:blip>
                          <a:stretch>
                            <a:fillRect/>
                          </a:stretch>
                        </pic:blipFill>
                        <pic:spPr>
                          <a:xfrm>
                            <a:off x="0" y="0"/>
                            <a:ext cx="5689473" cy="303925"/>
                          </a:xfrm>
                          <a:prstGeom prst="rect">
                            <a:avLst/>
                          </a:prstGeom>
                          <a:ln w="12700" cap="flat">
                            <a:noFill/>
                            <a:miter lim="400000"/>
                          </a:ln>
                          <a:effectLst/>
                        </pic:spPr>
                      </pic:pic>
                    </a:graphicData>
                  </a:graphic>
                </wp:inline>
              </w:drawing>
            </w:r>
          </w:p>
        </w:tc>
      </w:tr>
      <w:tr>
        <w:tblPrEx>
          <w:shd w:val="clear" w:color="auto" w:fill="ced7e7"/>
        </w:tblPrEx>
        <w:trPr>
          <w:trHeight w:val="500" w:hRule="atLeast"/>
        </w:trPr>
        <w:tc>
          <w:tcPr>
            <w:tcW w:type="dxa" w:w="2550"/>
            <w:gridSpan w:val="2"/>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 xml:space="preserve">Behavior Standards </w:t>
            </w:r>
          </w:p>
        </w:tc>
        <w:tc>
          <w:tcPr>
            <w:tcW w:type="dxa" w:w="3465"/>
            <w:gridSpan w:val="3"/>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Learning Objectives</w:t>
            </w:r>
          </w:p>
        </w:tc>
        <w:tc>
          <w:tcPr>
            <w:tcW w:type="dxa" w:w="3495"/>
            <w:gridSpan w:val="4"/>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Pre-/Post-Assessment Statements</w:t>
            </w:r>
          </w:p>
        </w:tc>
      </w:tr>
      <w:tr>
        <w:tblPrEx>
          <w:shd w:val="clear" w:color="auto" w:fill="ced7e7"/>
        </w:tblPrEx>
        <w:trPr>
          <w:trHeight w:val="546" w:hRule="atLeast"/>
        </w:trPr>
        <w:tc>
          <w:tcPr>
            <w:tcW w:type="dxa" w:w="2550"/>
            <w:gridSpan w:val="2"/>
            <w:vMerge w:val="restart"/>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spacing w:before="0" w:after="0"/>
              <w:rPr>
                <w:rStyle w:val="None"/>
                <w:rFonts w:ascii="Calibri" w:cs="Calibri" w:hAnsi="Calibri" w:eastAsia="Calibri"/>
                <w:b w:val="0"/>
                <w:bCs w:val="0"/>
                <w:sz w:val="20"/>
                <w:szCs w:val="20"/>
                <w:shd w:val="nil" w:color="auto" w:fill="auto"/>
              </w:rPr>
            </w:pPr>
            <w:r>
              <w:rPr>
                <w:rStyle w:val="None"/>
                <w:rFonts w:ascii="Calibri" w:hAnsi="Calibri"/>
                <w:b w:val="1"/>
                <w:bCs w:val="1"/>
                <w:sz w:val="20"/>
                <w:szCs w:val="20"/>
                <w:shd w:val="nil" w:color="auto" w:fill="auto"/>
                <w:rtl w:val="0"/>
                <w:lang w:val="en-US"/>
              </w:rPr>
              <w:t>B-LS 7</w:t>
            </w:r>
            <w:r>
              <w:rPr>
                <w:rStyle w:val="None"/>
                <w:rFonts w:ascii="Calibri" w:hAnsi="Calibri"/>
                <w:b w:val="0"/>
                <w:bCs w:val="0"/>
                <w:sz w:val="20"/>
                <w:szCs w:val="20"/>
                <w:shd w:val="nil" w:color="auto" w:fill="auto"/>
                <w:rtl w:val="0"/>
                <w:lang w:val="en-US"/>
              </w:rPr>
              <w:t xml:space="preserve"> Identify long- and short-term academic, career, and social/emotional goals</w:t>
            </w:r>
          </w:p>
          <w:p>
            <w:pPr>
              <w:pStyle w:val="Heading 3"/>
              <w:keepNext w:val="0"/>
              <w:keepLines w:val="0"/>
              <w:bidi w:val="0"/>
              <w:spacing w:before="0" w:after="0"/>
              <w:ind w:left="0" w:right="0" w:firstLine="0"/>
              <w:jc w:val="left"/>
              <w:rPr>
                <w:rStyle w:val="None"/>
                <w:rFonts w:ascii="Calibri" w:cs="Calibri" w:hAnsi="Calibri" w:eastAsia="Calibri"/>
                <w:b w:val="0"/>
                <w:bCs w:val="0"/>
                <w:sz w:val="20"/>
                <w:szCs w:val="20"/>
                <w:shd w:val="nil" w:color="auto" w:fill="auto"/>
                <w:rtl w:val="0"/>
              </w:rPr>
            </w:pPr>
            <w:r>
              <w:rPr>
                <w:rStyle w:val="None"/>
                <w:rFonts w:ascii="Calibri" w:hAnsi="Calibri"/>
                <w:b w:val="1"/>
                <w:bCs w:val="1"/>
                <w:sz w:val="20"/>
                <w:szCs w:val="20"/>
                <w:shd w:val="nil" w:color="auto" w:fill="auto"/>
                <w:rtl w:val="0"/>
                <w:lang w:val="en-US"/>
              </w:rPr>
              <w:t>B-SMS 10</w:t>
            </w:r>
            <w:r>
              <w:rPr>
                <w:rStyle w:val="None"/>
                <w:rFonts w:ascii="Calibri" w:hAnsi="Calibri"/>
                <w:b w:val="0"/>
                <w:bCs w:val="0"/>
                <w:sz w:val="20"/>
                <w:szCs w:val="20"/>
                <w:shd w:val="nil" w:color="auto" w:fill="auto"/>
                <w:rtl w:val="0"/>
                <w:lang w:val="en-US"/>
              </w:rPr>
              <w:t xml:space="preserve"> Demonstrate ability to manage transitions and adapt to changing situations and responsibilities</w:t>
            </w:r>
          </w:p>
          <w:p>
            <w:pPr>
              <w:pStyle w:val="Heading 3"/>
              <w:keepNext w:val="0"/>
              <w:keepLines w:val="0"/>
              <w:bidi w:val="0"/>
              <w:spacing w:before="0" w:after="0"/>
              <w:ind w:left="0" w:right="0" w:firstLine="0"/>
              <w:jc w:val="left"/>
              <w:rPr>
                <w:rStyle w:val="None"/>
                <w:rFonts w:ascii="Calibri" w:cs="Calibri" w:hAnsi="Calibri" w:eastAsia="Calibri"/>
                <w:b w:val="0"/>
                <w:bCs w:val="0"/>
                <w:sz w:val="20"/>
                <w:szCs w:val="20"/>
                <w:shd w:val="nil" w:color="auto" w:fill="auto"/>
                <w:rtl w:val="0"/>
              </w:rPr>
            </w:pPr>
            <w:r>
              <w:rPr>
                <w:rStyle w:val="None"/>
                <w:rFonts w:ascii="Calibri" w:hAnsi="Calibri"/>
                <w:b w:val="1"/>
                <w:bCs w:val="1"/>
                <w:sz w:val="20"/>
                <w:szCs w:val="20"/>
                <w:shd w:val="nil" w:color="auto" w:fill="auto"/>
                <w:rtl w:val="0"/>
                <w:lang w:val="en-US"/>
              </w:rPr>
              <w:t>B-SMS 5</w:t>
            </w:r>
            <w:r>
              <w:rPr>
                <w:rStyle w:val="None"/>
                <w:rFonts w:ascii="Calibri" w:hAnsi="Calibri"/>
                <w:b w:val="0"/>
                <w:bCs w:val="0"/>
                <w:sz w:val="20"/>
                <w:szCs w:val="20"/>
                <w:shd w:val="nil" w:color="auto" w:fill="auto"/>
                <w:rtl w:val="0"/>
                <w:lang w:val="en-US"/>
              </w:rPr>
              <w:t xml:space="preserve"> Demonstrate perseverance to achieve long- and short-term goals</w:t>
            </w:r>
          </w:p>
          <w:p>
            <w:pPr>
              <w:pStyle w:val="Heading 3"/>
              <w:keepNext w:val="0"/>
              <w:keepLines w:val="0"/>
              <w:bidi w:val="0"/>
              <w:spacing w:before="0" w:after="0"/>
              <w:ind w:left="0" w:right="0" w:firstLine="0"/>
              <w:jc w:val="left"/>
              <w:rPr>
                <w:rtl w:val="0"/>
              </w:rPr>
            </w:pPr>
            <w:r>
              <w:rPr>
                <w:rStyle w:val="None"/>
                <w:rFonts w:ascii="Calibri" w:cs="Aptos" w:hAnsi="Calibri" w:eastAsia="Aptos"/>
                <w:sz w:val="20"/>
                <w:szCs w:val="20"/>
                <w:shd w:val="nil" w:color="auto" w:fill="auto"/>
                <w:rtl w:val="0"/>
                <w:lang w:val="en-US"/>
              </w:rPr>
              <w:t>B-LS 11</w:t>
            </w:r>
            <w:r>
              <w:rPr>
                <w:rStyle w:val="None"/>
                <w:rFonts w:ascii="Calibri" w:cs="Aptos" w:hAnsi="Calibri" w:eastAsia="Aptos"/>
                <w:b w:val="0"/>
                <w:bCs w:val="0"/>
                <w:sz w:val="20"/>
                <w:szCs w:val="20"/>
                <w:shd w:val="nil" w:color="auto" w:fill="auto"/>
                <w:rtl w:val="0"/>
                <w:lang w:val="en-US"/>
              </w:rPr>
              <w:t xml:space="preserve"> Identify postsecondary options consistent with interests, achievement, aptitude and abilities</w:t>
            </w:r>
          </w:p>
        </w:tc>
        <w:tc>
          <w:tcPr>
            <w:tcW w:type="dxa" w:w="3465"/>
            <w:gridSpan w:val="3"/>
            <w:vMerge w:val="restart"/>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spacing w:before="0" w:after="0"/>
              <w:rPr>
                <w:rStyle w:val="None"/>
                <w:rFonts w:ascii="Calibri" w:cs="Calibri" w:hAnsi="Calibri" w:eastAsia="Calibri"/>
                <w:b w:val="0"/>
                <w:bCs w:val="0"/>
                <w:sz w:val="20"/>
                <w:szCs w:val="20"/>
                <w:shd w:val="nil" w:color="auto" w:fill="auto"/>
              </w:rPr>
            </w:pPr>
            <w:r>
              <w:rPr>
                <w:rStyle w:val="None"/>
                <w:rFonts w:ascii="Calibri" w:hAnsi="Calibri"/>
                <w:b w:val="0"/>
                <w:bCs w:val="0"/>
                <w:sz w:val="20"/>
                <w:szCs w:val="20"/>
                <w:shd w:val="nil" w:color="auto" w:fill="auto"/>
                <w:rtl w:val="0"/>
                <w:lang w:val="en-US"/>
              </w:rPr>
              <w:t>Students will be able to:</w:t>
            </w:r>
          </w:p>
          <w:p>
            <w:pPr>
              <w:pStyle w:val="Heading 3"/>
              <w:keepNext w:val="0"/>
              <w:keepLines w:val="0"/>
              <w:bidi w:val="0"/>
              <w:spacing w:before="0" w:after="0"/>
              <w:ind w:left="0" w:right="0" w:firstLine="0"/>
              <w:jc w:val="left"/>
              <w:rPr>
                <w:rStyle w:val="None"/>
                <w:rFonts w:ascii="Calibri" w:cs="Calibri" w:hAnsi="Calibri" w:eastAsia="Calibri"/>
                <w:b w:val="0"/>
                <w:bCs w:val="0"/>
                <w:sz w:val="20"/>
                <w:szCs w:val="20"/>
                <w:shd w:val="nil" w:color="auto" w:fill="auto"/>
                <w:rtl w:val="0"/>
              </w:rPr>
            </w:pPr>
            <w:r>
              <w:rPr>
                <w:rStyle w:val="None"/>
                <w:rFonts w:ascii="Calibri" w:hAnsi="Calibri" w:hint="default"/>
                <w:b w:val="0"/>
                <w:bCs w:val="0"/>
                <w:sz w:val="20"/>
                <w:szCs w:val="20"/>
                <w:shd w:val="nil" w:color="auto" w:fill="auto"/>
                <w:rtl w:val="0"/>
                <w:lang w:val="en-US"/>
              </w:rPr>
              <w:t xml:space="preserve">• </w:t>
            </w:r>
            <w:r>
              <w:rPr>
                <w:rStyle w:val="None"/>
                <w:rFonts w:ascii="Calibri" w:hAnsi="Calibri"/>
                <w:b w:val="0"/>
                <w:bCs w:val="0"/>
                <w:sz w:val="20"/>
                <w:szCs w:val="20"/>
                <w:shd w:val="nil" w:color="auto" w:fill="auto"/>
                <w:rtl w:val="0"/>
                <w:lang w:val="en-US"/>
              </w:rPr>
              <w:t>Describe military service as one postsecondary pathway available after high school.</w:t>
            </w:r>
          </w:p>
          <w:p>
            <w:pPr>
              <w:pStyle w:val="Heading 3"/>
              <w:keepNext w:val="0"/>
              <w:keepLines w:val="0"/>
              <w:bidi w:val="0"/>
              <w:spacing w:before="0" w:after="0"/>
              <w:ind w:left="0" w:right="0" w:firstLine="0"/>
              <w:jc w:val="left"/>
              <w:rPr>
                <w:rtl w:val="0"/>
              </w:rPr>
            </w:pPr>
            <w:r>
              <w:rPr>
                <w:rStyle w:val="None"/>
                <w:rFonts w:ascii="Calibri" w:hAnsi="Calibri" w:hint="default"/>
                <w:b w:val="0"/>
                <w:bCs w:val="0"/>
                <w:sz w:val="20"/>
                <w:szCs w:val="20"/>
                <w:shd w:val="nil" w:color="auto" w:fill="auto"/>
                <w:rtl w:val="0"/>
                <w:lang w:val="en-US"/>
              </w:rPr>
              <w:t xml:space="preserve">• </w:t>
            </w:r>
            <w:r>
              <w:rPr>
                <w:rStyle w:val="None"/>
                <w:rFonts w:ascii="Calibri" w:hAnsi="Calibri"/>
                <w:b w:val="0"/>
                <w:bCs w:val="0"/>
                <w:sz w:val="20"/>
                <w:szCs w:val="20"/>
                <w:shd w:val="nil" w:color="auto" w:fill="auto"/>
                <w:rtl w:val="0"/>
                <w:lang w:val="en-US"/>
              </w:rPr>
              <w:t>Explain the general enlistment process, including the role of the ASVAB.</w:t>
            </w:r>
          </w:p>
        </w:tc>
        <w:tc>
          <w:tcPr>
            <w:tcW w:type="dxa" w:w="3495"/>
            <w:gridSpan w:val="4"/>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widowControl w:val="1"/>
              <w:spacing w:before="0"/>
            </w:pPr>
            <w:r>
              <w:rPr>
                <w:rStyle w:val="None"/>
                <w:rFonts w:ascii="Calibri" w:hAnsi="Calibri"/>
                <w:b w:val="0"/>
                <w:bCs w:val="0"/>
                <w:sz w:val="20"/>
                <w:szCs w:val="20"/>
                <w:shd w:val="nil" w:color="auto" w:fill="auto"/>
                <w:rtl w:val="0"/>
                <w:lang w:val="en-US"/>
              </w:rPr>
              <w:t>I understand the different ways a person can serve in the U.S. military.</w:t>
            </w:r>
          </w:p>
        </w:tc>
      </w:tr>
      <w:tr>
        <w:tblPrEx>
          <w:shd w:val="clear" w:color="auto" w:fill="ced7e7"/>
        </w:tblPrEx>
        <w:trPr>
          <w:trHeight w:val="1190"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65"/>
            <w:gridSpan w:val="3"/>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9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widowControl w:val="1"/>
              <w:spacing w:before="0"/>
            </w:pPr>
            <w:r>
              <w:rPr>
                <w:rStyle w:val="None"/>
                <w:rFonts w:ascii="Calibri" w:hAnsi="Calibri"/>
                <w:b w:val="0"/>
                <w:bCs w:val="0"/>
                <w:sz w:val="20"/>
                <w:szCs w:val="20"/>
                <w:shd w:val="nil" w:color="auto" w:fill="auto"/>
                <w:rtl w:val="0"/>
                <w:lang w:val="en-US"/>
              </w:rPr>
              <w:t>I know the basic steps required to enlist in the military.</w:t>
            </w:r>
          </w:p>
        </w:tc>
      </w:tr>
      <w:tr>
        <w:tblPrEx>
          <w:shd w:val="clear" w:color="auto" w:fill="ced7e7"/>
        </w:tblPrEx>
        <w:trPr>
          <w:trHeight w:val="856"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65"/>
            <w:gridSpan w:val="3"/>
            <w:vMerge w:val="restart"/>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spacing w:before="0" w:after="0"/>
              <w:rPr>
                <w:rStyle w:val="None"/>
                <w:rFonts w:ascii="Calibri" w:cs="Calibri" w:hAnsi="Calibri" w:eastAsia="Calibri"/>
                <w:b w:val="0"/>
                <w:bCs w:val="0"/>
                <w:sz w:val="20"/>
                <w:szCs w:val="20"/>
                <w:shd w:val="nil" w:color="auto" w:fill="auto"/>
              </w:rPr>
            </w:pPr>
            <w:r>
              <w:rPr>
                <w:rStyle w:val="None"/>
                <w:rFonts w:ascii="Calibri" w:hAnsi="Calibri" w:hint="default"/>
                <w:b w:val="0"/>
                <w:bCs w:val="0"/>
                <w:sz w:val="20"/>
                <w:szCs w:val="20"/>
                <w:shd w:val="nil" w:color="auto" w:fill="auto"/>
                <w:rtl w:val="0"/>
                <w:lang w:val="en-US"/>
              </w:rPr>
              <w:t xml:space="preserve">• </w:t>
            </w:r>
            <w:r>
              <w:rPr>
                <w:rStyle w:val="None"/>
                <w:rFonts w:ascii="Calibri" w:hAnsi="Calibri"/>
                <w:b w:val="0"/>
                <w:bCs w:val="0"/>
                <w:sz w:val="20"/>
                <w:szCs w:val="20"/>
                <w:shd w:val="nil" w:color="auto" w:fill="auto"/>
                <w:rtl w:val="0"/>
                <w:lang w:val="en-US"/>
              </w:rPr>
              <w:t>Identify potential benefits and commitments associated with military service.</w:t>
            </w:r>
          </w:p>
          <w:p>
            <w:pPr>
              <w:pStyle w:val="Heading 3"/>
              <w:keepNext w:val="0"/>
              <w:keepLines w:val="0"/>
              <w:bidi w:val="0"/>
              <w:spacing w:before="0" w:after="0"/>
              <w:ind w:left="0" w:right="0" w:firstLine="0"/>
              <w:jc w:val="left"/>
              <w:rPr>
                <w:rtl w:val="0"/>
              </w:rPr>
            </w:pPr>
            <w:r>
              <w:rPr>
                <w:rStyle w:val="None"/>
                <w:rFonts w:ascii="Calibri" w:hAnsi="Calibri" w:hint="default"/>
                <w:b w:val="0"/>
                <w:bCs w:val="0"/>
                <w:sz w:val="20"/>
                <w:szCs w:val="20"/>
                <w:shd w:val="nil" w:color="auto" w:fill="auto"/>
                <w:rtl w:val="0"/>
                <w:lang w:val="en-US"/>
              </w:rPr>
              <w:t xml:space="preserve">• </w:t>
            </w:r>
            <w:r>
              <w:rPr>
                <w:rStyle w:val="None"/>
                <w:rFonts w:ascii="Calibri" w:hAnsi="Calibri"/>
                <w:b w:val="0"/>
                <w:bCs w:val="0"/>
                <w:sz w:val="20"/>
                <w:szCs w:val="20"/>
                <w:shd w:val="nil" w:color="auto" w:fill="auto"/>
                <w:rtl w:val="0"/>
                <w:lang w:val="en-US"/>
              </w:rPr>
              <w:t>Evaluate whether military service aligns with their own interests, goals, and values.</w:t>
            </w:r>
            <w:r>
              <w:rPr>
                <w:rStyle w:val="None"/>
                <w:rFonts w:ascii="Calibri" w:cs="Calibri" w:hAnsi="Calibri" w:eastAsia="Calibri"/>
                <w:b w:val="0"/>
                <w:bCs w:val="0"/>
                <w:sz w:val="20"/>
                <w:szCs w:val="20"/>
                <w:shd w:val="nil" w:color="auto" w:fill="auto"/>
              </w:rPr>
            </w:r>
          </w:p>
        </w:tc>
        <w:tc>
          <w:tcPr>
            <w:tcW w:type="dxa" w:w="349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Heading 3"/>
              <w:keepNext w:val="0"/>
              <w:keepLines w:val="0"/>
              <w:widowControl w:val="1"/>
              <w:spacing w:before="0"/>
            </w:pPr>
            <w:r>
              <w:rPr>
                <w:rStyle w:val="None"/>
                <w:rFonts w:ascii="Calibri" w:hAnsi="Calibri"/>
                <w:b w:val="0"/>
                <w:bCs w:val="0"/>
                <w:sz w:val="20"/>
                <w:szCs w:val="20"/>
                <w:shd w:val="nil" w:color="auto" w:fill="auto"/>
                <w:rtl w:val="0"/>
                <w:lang w:val="en-US"/>
              </w:rPr>
              <w:t>I can determine whether military service may be a good fit for my future goals.</w:t>
            </w:r>
          </w:p>
        </w:tc>
      </w:tr>
      <w:tr>
        <w:tblPrEx>
          <w:shd w:val="clear" w:color="auto" w:fill="ced7e7"/>
        </w:tblPrEx>
        <w:trPr>
          <w:trHeight w:val="1424" w:hRule="atLeast"/>
        </w:trPr>
        <w:tc>
          <w:tcPr>
            <w:tcW w:type="dxa" w:w="2550"/>
            <w:gridSpan w:val="2"/>
            <w:vMerge w:val="continue"/>
            <w:tcBorders>
              <w:top w:val="nil"/>
              <w:left w:val="single" w:color="ffffff" w:sz="48" w:space="0" w:shadow="0" w:frame="0"/>
              <w:bottom w:val="single" w:color="ffffff" w:sz="48" w:space="0" w:shadow="0" w:frame="0"/>
              <w:right w:val="single" w:color="ffffff" w:sz="48" w:space="0" w:shadow="0" w:frame="0"/>
            </w:tcBorders>
            <w:shd w:val="clear" w:color="auto" w:fill="f2f2f2"/>
          </w:tcPr>
          <w:p/>
        </w:tc>
        <w:tc>
          <w:tcPr>
            <w:tcW w:type="dxa" w:w="3465"/>
            <w:gridSpan w:val="3"/>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9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tc>
      </w:tr>
    </w:tbl>
    <w:p>
      <w:pPr>
        <w:pStyle w:val="Body"/>
        <w:rPr>
          <w:rStyle w:val="None"/>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widowControl w:val="1"/>
        <w:spacing w:after="90"/>
        <w:rPr>
          <w:rStyle w:val="None"/>
          <w:rFonts w:ascii="Aptos" w:cs="Aptos" w:hAnsi="Aptos" w:eastAsia="Aptos"/>
          <w:sz w:val="2"/>
          <w:szCs w:val="2"/>
        </w:rPr>
      </w:pPr>
    </w:p>
    <w:tbl>
      <w:tblPr>
        <w:tblW w:w="97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540"/>
        <w:gridCol w:w="160"/>
      </w:tblGrid>
      <w:tr>
        <w:tblPrEx>
          <w:shd w:val="clear" w:color="auto" w:fill="ced7e7"/>
        </w:tblPrEx>
        <w:trPr>
          <w:trHeight w:val="679" w:hRule="atLeast"/>
        </w:trPr>
        <w:tc>
          <w:tcPr>
            <w:tcW w:type="dxa" w:w="9700"/>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89473" cy="304227"/>
                  <wp:effectExtent l="0" t="0" r="0" b="0"/>
                  <wp:docPr id="1073741828" name="officeArt object" descr="Materials:"/>
                  <wp:cNvGraphicFramePr/>
                  <a:graphic xmlns:a="http://schemas.openxmlformats.org/drawingml/2006/main">
                    <a:graphicData uri="http://schemas.openxmlformats.org/drawingml/2006/picture">
                      <pic:pic xmlns:pic="http://schemas.openxmlformats.org/drawingml/2006/picture">
                        <pic:nvPicPr>
                          <pic:cNvPr id="1073741828" name="Materials:" descr="Materials:"/>
                          <pic:cNvPicPr>
                            <a:picLocks noChangeAspect="1"/>
                          </pic:cNvPicPr>
                        </pic:nvPicPr>
                        <pic:blipFill>
                          <a:blip r:embed="rId5">
                            <a:extLst/>
                          </a:blip>
                          <a:stretch>
                            <a:fillRect/>
                          </a:stretch>
                        </pic:blipFill>
                        <pic:spPr>
                          <a:xfrm>
                            <a:off x="0" y="0"/>
                            <a:ext cx="5689473" cy="304227"/>
                          </a:xfrm>
                          <a:prstGeom prst="rect">
                            <a:avLst/>
                          </a:prstGeom>
                          <a:ln w="12700" cap="flat">
                            <a:noFill/>
                            <a:miter lim="400000"/>
                          </a:ln>
                          <a:effectLst/>
                        </pic:spPr>
                      </pic:pic>
                    </a:graphicData>
                  </a:graphic>
                </wp:inline>
              </w:drawing>
            </w:r>
          </w:p>
        </w:tc>
      </w:tr>
      <w:tr>
        <w:tblPrEx>
          <w:shd w:val="clear" w:color="auto" w:fill="ced7e7"/>
        </w:tblPrEx>
        <w:trPr>
          <w:trHeight w:val="1010" w:hRule="atLeast"/>
        </w:trPr>
        <w:tc>
          <w:tcPr>
            <w:tcW w:type="dxa" w:w="95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38"/>
              <w:bottom w:type="dxa" w:w="80"/>
              <w:right w:type="dxa" w:w="80"/>
            </w:tcMar>
            <w:vAlign w:val="top"/>
          </w:tcPr>
          <w:p>
            <w:pPr>
              <w:pStyle w:val="Body"/>
              <w:widowControl w:val="1"/>
              <w:ind w:left="58" w:firstLine="0"/>
            </w:pPr>
            <w:r>
              <w:rPr>
                <w:rStyle w:val="None"/>
                <w:rFonts w:ascii="Times New Roman" w:cs="Aptos" w:hAnsi="Times New Roman" w:eastAsia="Aptos"/>
                <w:sz w:val="24"/>
                <w:szCs w:val="24"/>
                <w:shd w:val="nil" w:color="auto" w:fill="auto"/>
                <w:rtl w:val="0"/>
                <w:lang w:val="en-US"/>
              </w:rPr>
              <w:t>Projector, Slides, Timer, Printed or Digital Workbooks, QR codes or links to official military branch websites, pens/pencils, one-to-one devices with internet access, student flyer, Lesson Differentiations/Extensions, Parent Announcement/Email</w:t>
            </w:r>
          </w:p>
        </w:tc>
        <w:tc>
          <w:tcPr>
            <w:tcW w:type="dxa" w:w="160"/>
            <w:tcBorders>
              <w:top w:val="single" w:color="ffffff" w:sz="48" w:space="0" w:shadow="0" w:frame="0"/>
              <w:left w:val="single" w:color="ffffff" w:sz="48" w:space="0" w:shadow="0" w:frame="0"/>
              <w:bottom w:val="nil"/>
              <w:right w:val="nil"/>
            </w:tcBorders>
            <w:shd w:val="clear" w:color="auto" w:fill="auto"/>
            <w:tcMar>
              <w:top w:type="dxa" w:w="80"/>
              <w:left w:type="dxa" w:w="80"/>
              <w:bottom w:type="dxa" w:w="80"/>
              <w:right w:type="dxa" w:w="80"/>
            </w:tcMar>
            <w:vAlign w:val="top"/>
          </w:tcPr>
          <w:p/>
        </w:tc>
      </w:tr>
    </w:tbl>
    <w:p>
      <w:pPr>
        <w:pStyle w:val="Body"/>
        <w:spacing w:after="90"/>
        <w:rPr>
          <w:rStyle w:val="None"/>
          <w:rFonts w:ascii="Aptos" w:cs="Aptos" w:hAnsi="Aptos" w:eastAsia="Aptos"/>
          <w:sz w:val="2"/>
          <w:szCs w:val="2"/>
        </w:rPr>
      </w:pPr>
    </w:p>
    <w:p>
      <w:pPr>
        <w:pStyle w:val="Body"/>
      </w:pPr>
    </w:p>
    <w:tbl>
      <w:tblPr>
        <w:tblW w:w="926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5"/>
        <w:gridCol w:w="6930"/>
      </w:tblGrid>
      <w:tr>
        <w:tblPrEx>
          <w:shd w:val="clear" w:color="auto" w:fill="ced7e7"/>
        </w:tblPrEx>
        <w:trPr>
          <w:trHeight w:val="606" w:hRule="atLeast"/>
        </w:trPr>
        <w:tc>
          <w:tcPr>
            <w:tcW w:type="dxa" w:w="9265"/>
            <w:gridSpan w:val="2"/>
            <w:tcBorders>
              <w:top w:val="single" w:color="ffffff" w:sz="48" w:space="0" w:shadow="0" w:frame="0"/>
              <w:left w:val="single" w:color="ffffff" w:sz="48" w:space="0" w:shadow="0" w:frame="0"/>
              <w:bottom w:val="nil"/>
              <w:right w:val="single" w:color="ffffff" w:sz="48" w:space="0" w:shadow="0" w:frame="0"/>
            </w:tcBorders>
            <w:shd w:val="clear" w:color="auto" w:fill="8c1515"/>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89473" cy="304227"/>
                  <wp:effectExtent l="0" t="0" r="0" b="0"/>
                  <wp:docPr id="1073741829" name="officeArt object" descr="Steps"/>
                  <wp:cNvGraphicFramePr/>
                  <a:graphic xmlns:a="http://schemas.openxmlformats.org/drawingml/2006/main">
                    <a:graphicData uri="http://schemas.openxmlformats.org/drawingml/2006/picture">
                      <pic:pic xmlns:pic="http://schemas.openxmlformats.org/drawingml/2006/picture">
                        <pic:nvPicPr>
                          <pic:cNvPr id="1073741829" name="Steps" descr="Steps"/>
                          <pic:cNvPicPr>
                            <a:picLocks noChangeAspect="1"/>
                          </pic:cNvPicPr>
                        </pic:nvPicPr>
                        <pic:blipFill>
                          <a:blip r:embed="rId6">
                            <a:extLst/>
                          </a:blip>
                          <a:stretch>
                            <a:fillRect/>
                          </a:stretch>
                        </pic:blipFill>
                        <pic:spPr>
                          <a:xfrm>
                            <a:off x="0" y="0"/>
                            <a:ext cx="5689473" cy="304227"/>
                          </a:xfrm>
                          <a:prstGeom prst="rect">
                            <a:avLst/>
                          </a:prstGeom>
                          <a:ln w="12700" cap="flat">
                            <a:noFill/>
                            <a:miter lim="400000"/>
                          </a:ln>
                          <a:effectLst/>
                        </pic:spPr>
                      </pic:pic>
                    </a:graphicData>
                  </a:graphic>
                </wp:inline>
              </w:drawing>
            </w:r>
          </w:p>
        </w:tc>
      </w:tr>
      <w:tr>
        <w:tblPrEx>
          <w:shd w:val="clear" w:color="auto" w:fill="ced7e7"/>
        </w:tblPrEx>
        <w:trPr>
          <w:trHeight w:val="310" w:hRule="atLeast"/>
        </w:trPr>
        <w:tc>
          <w:tcPr>
            <w:tcW w:type="dxa" w:w="9265"/>
            <w:gridSpan w:val="2"/>
            <w:tcBorders>
              <w:top w:val="nil"/>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08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3"/>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Introduce lesson and objective: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spacing w:after="240"/>
            </w:pPr>
            <w:r>
              <w:rPr>
                <w:rStyle w:val="None"/>
                <w:sz w:val="20"/>
                <w:szCs w:val="20"/>
                <w:shd w:val="nil" w:color="auto" w:fill="auto"/>
                <w:rtl w:val="0"/>
                <w:lang w:val="en-US"/>
              </w:rPr>
              <w:t>Introduce military service as one of several postsecondary pathways available after high school. Facilitate the opening warm-up activity and explain that the purpose of the workshop is to help students make informed decisions</w:t>
            </w:r>
            <w:r>
              <w:rPr>
                <w:rStyle w:val="None"/>
                <w:sz w:val="20"/>
                <w:szCs w:val="20"/>
                <w:shd w:val="nil" w:color="auto" w:fill="auto"/>
                <w:rtl w:val="0"/>
                <w:lang w:val="en-US"/>
              </w:rPr>
              <w:t>—</w:t>
            </w:r>
            <w:r>
              <w:rPr>
                <w:rStyle w:val="None"/>
                <w:sz w:val="20"/>
                <w:szCs w:val="20"/>
                <w:shd w:val="nil" w:color="auto" w:fill="auto"/>
                <w:rtl w:val="0"/>
                <w:lang w:val="en-US"/>
              </w:rPr>
              <w:t>not persuade them to enlist.</w:t>
            </w:r>
          </w:p>
        </w:tc>
      </w:tr>
      <w:tr>
        <w:tblPrEx>
          <w:shd w:val="clear" w:color="auto" w:fill="ced7e7"/>
        </w:tblPrEx>
        <w:trPr>
          <w:trHeight w:val="300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5"/>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Teach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spacing w:after="240"/>
              <w:rPr>
                <w:rStyle w:val="None"/>
                <w:sz w:val="20"/>
                <w:szCs w:val="20"/>
                <w:shd w:val="nil" w:color="auto" w:fill="auto"/>
              </w:rPr>
            </w:pPr>
            <w:r>
              <w:rPr>
                <w:rStyle w:val="None"/>
                <w:sz w:val="20"/>
                <w:szCs w:val="20"/>
                <w:shd w:val="nil" w:color="auto" w:fill="auto"/>
                <w:rtl w:val="0"/>
                <w:lang w:val="en-US"/>
              </w:rPr>
              <w:t>Guide students through:</w:t>
            </w:r>
          </w:p>
          <w:p>
            <w:pPr>
              <w:pStyle w:val="Body"/>
              <w:widowControl w:val="1"/>
              <w:numPr>
                <w:ilvl w:val="0"/>
                <w:numId w:val="6"/>
              </w:numPr>
              <w:bidi w:val="0"/>
              <w:spacing w:before="240"/>
              <w:ind w:right="0"/>
              <w:jc w:val="left"/>
              <w:rPr>
                <w:sz w:val="20"/>
                <w:szCs w:val="20"/>
                <w:rtl w:val="0"/>
                <w:lang w:val="en-US"/>
              </w:rPr>
            </w:pPr>
            <w:r>
              <w:rPr>
                <w:rStyle w:val="None"/>
                <w:sz w:val="20"/>
                <w:szCs w:val="20"/>
                <w:shd w:val="nil" w:color="auto" w:fill="auto"/>
                <w:rtl w:val="0"/>
                <w:lang w:val="en-US"/>
              </w:rPr>
              <w:t>Myth vs. Fact</w:t>
            </w:r>
          </w:p>
          <w:p>
            <w:pPr>
              <w:pStyle w:val="Body"/>
              <w:widowControl w:val="1"/>
              <w:numPr>
                <w:ilvl w:val="0"/>
                <w:numId w:val="6"/>
              </w:numPr>
              <w:bidi w:val="0"/>
              <w:ind w:right="0"/>
              <w:jc w:val="left"/>
              <w:rPr>
                <w:sz w:val="20"/>
                <w:szCs w:val="20"/>
                <w:rtl w:val="0"/>
                <w:lang w:val="en-US"/>
              </w:rPr>
            </w:pPr>
            <w:r>
              <w:rPr>
                <w:rStyle w:val="None"/>
                <w:sz w:val="20"/>
                <w:szCs w:val="20"/>
                <w:shd w:val="nil" w:color="auto" w:fill="auto"/>
                <w:rtl w:val="0"/>
                <w:lang w:val="en-US"/>
              </w:rPr>
              <w:t>Reasons people enlist</w:t>
            </w:r>
          </w:p>
          <w:p>
            <w:pPr>
              <w:pStyle w:val="Body"/>
              <w:widowControl w:val="1"/>
              <w:numPr>
                <w:ilvl w:val="0"/>
                <w:numId w:val="6"/>
              </w:numPr>
              <w:bidi w:val="0"/>
              <w:ind w:right="0"/>
              <w:jc w:val="left"/>
              <w:rPr>
                <w:sz w:val="20"/>
                <w:szCs w:val="20"/>
                <w:rtl w:val="0"/>
                <w:lang w:val="en-US"/>
              </w:rPr>
            </w:pPr>
            <w:r>
              <w:rPr>
                <w:rStyle w:val="None"/>
                <w:sz w:val="20"/>
                <w:szCs w:val="20"/>
                <w:shd w:val="nil" w:color="auto" w:fill="auto"/>
                <w:rtl w:val="0"/>
                <w:lang w:val="en-US"/>
              </w:rPr>
              <w:t>Military career opportunities</w:t>
            </w:r>
          </w:p>
          <w:p>
            <w:pPr>
              <w:pStyle w:val="Body"/>
              <w:widowControl w:val="1"/>
              <w:numPr>
                <w:ilvl w:val="0"/>
                <w:numId w:val="6"/>
              </w:numPr>
              <w:bidi w:val="0"/>
              <w:ind w:right="0"/>
              <w:jc w:val="left"/>
              <w:rPr>
                <w:sz w:val="20"/>
                <w:szCs w:val="20"/>
                <w:rtl w:val="0"/>
                <w:lang w:val="en-US"/>
              </w:rPr>
            </w:pPr>
            <w:r>
              <w:rPr>
                <w:rStyle w:val="None"/>
                <w:sz w:val="20"/>
                <w:szCs w:val="20"/>
                <w:shd w:val="nil" w:color="auto" w:fill="auto"/>
                <w:rtl w:val="0"/>
                <w:lang w:val="en-US"/>
              </w:rPr>
              <w:t>Student scenarios</w:t>
            </w:r>
          </w:p>
          <w:p>
            <w:pPr>
              <w:pStyle w:val="Body"/>
              <w:widowControl w:val="1"/>
              <w:numPr>
                <w:ilvl w:val="0"/>
                <w:numId w:val="6"/>
              </w:numPr>
              <w:bidi w:val="0"/>
              <w:ind w:right="0"/>
              <w:jc w:val="left"/>
              <w:rPr>
                <w:sz w:val="20"/>
                <w:szCs w:val="20"/>
                <w:rtl w:val="0"/>
                <w:lang w:val="en-US"/>
              </w:rPr>
            </w:pPr>
            <w:r>
              <w:rPr>
                <w:rStyle w:val="None"/>
                <w:sz w:val="20"/>
                <w:szCs w:val="20"/>
                <w:shd w:val="nil" w:color="auto" w:fill="auto"/>
                <w:rtl w:val="0"/>
                <w:lang w:val="en-US"/>
              </w:rPr>
              <w:t>Military branches</w:t>
            </w:r>
          </w:p>
          <w:p>
            <w:pPr>
              <w:pStyle w:val="Body"/>
              <w:widowControl w:val="1"/>
              <w:numPr>
                <w:ilvl w:val="0"/>
                <w:numId w:val="6"/>
              </w:numPr>
              <w:bidi w:val="0"/>
              <w:ind w:right="0"/>
              <w:jc w:val="left"/>
              <w:rPr>
                <w:sz w:val="20"/>
                <w:szCs w:val="20"/>
                <w:rtl w:val="0"/>
                <w:lang w:val="en-US"/>
              </w:rPr>
            </w:pPr>
            <w:r>
              <w:rPr>
                <w:rStyle w:val="None"/>
                <w:sz w:val="20"/>
                <w:szCs w:val="20"/>
                <w:shd w:val="nil" w:color="auto" w:fill="auto"/>
                <w:rtl w:val="0"/>
                <w:lang w:val="en-US"/>
              </w:rPr>
              <w:t>Enlistment process</w:t>
            </w:r>
          </w:p>
          <w:p>
            <w:pPr>
              <w:pStyle w:val="Body"/>
              <w:widowControl w:val="1"/>
              <w:numPr>
                <w:ilvl w:val="0"/>
                <w:numId w:val="6"/>
              </w:numPr>
              <w:bidi w:val="0"/>
              <w:ind w:right="0"/>
              <w:jc w:val="left"/>
              <w:rPr>
                <w:sz w:val="20"/>
                <w:szCs w:val="20"/>
                <w:rtl w:val="0"/>
                <w:lang w:val="en-US"/>
              </w:rPr>
            </w:pPr>
            <w:r>
              <w:rPr>
                <w:rStyle w:val="None"/>
                <w:sz w:val="20"/>
                <w:szCs w:val="20"/>
                <w:shd w:val="nil" w:color="auto" w:fill="auto"/>
                <w:rtl w:val="0"/>
                <w:lang w:val="en-US"/>
              </w:rPr>
              <w:t>ASVAB overview</w:t>
            </w:r>
          </w:p>
          <w:p>
            <w:pPr>
              <w:pStyle w:val="Body"/>
              <w:widowControl w:val="1"/>
              <w:numPr>
                <w:ilvl w:val="0"/>
                <w:numId w:val="6"/>
              </w:numPr>
              <w:bidi w:val="0"/>
              <w:spacing w:after="240"/>
              <w:ind w:right="0"/>
              <w:jc w:val="left"/>
              <w:rPr>
                <w:sz w:val="20"/>
                <w:szCs w:val="20"/>
                <w:rtl w:val="0"/>
                <w:lang w:val="en-US"/>
              </w:rPr>
            </w:pPr>
            <w:r>
              <w:rPr>
                <w:rStyle w:val="None"/>
                <w:sz w:val="20"/>
                <w:szCs w:val="20"/>
                <w:shd w:val="nil" w:color="auto" w:fill="auto"/>
                <w:rtl w:val="0"/>
                <w:lang w:val="en-US"/>
              </w:rPr>
              <w:t>Benefits and commitments of military service</w:t>
            </w:r>
          </w:p>
          <w:p>
            <w:pPr>
              <w:pStyle w:val="Body"/>
              <w:widowControl w:val="1"/>
              <w:bidi w:val="0"/>
              <w:spacing w:before="240" w:after="240"/>
              <w:ind w:left="0" w:right="0" w:firstLine="0"/>
              <w:jc w:val="left"/>
              <w:rPr>
                <w:rtl w:val="0"/>
              </w:rPr>
            </w:pPr>
            <w:r>
              <w:rPr>
                <w:rStyle w:val="None"/>
                <w:sz w:val="20"/>
                <w:szCs w:val="20"/>
                <w:shd w:val="nil" w:color="auto" w:fill="auto"/>
                <w:rtl w:val="0"/>
                <w:lang w:val="en-US"/>
              </w:rPr>
              <w:t>Encourage discussion throughout.</w:t>
            </w:r>
          </w:p>
        </w:tc>
      </w:tr>
      <w:tr>
        <w:tblPrEx>
          <w:shd w:val="clear" w:color="auto" w:fill="ced7e7"/>
        </w:tblPrEx>
        <w:trPr>
          <w:trHeight w:val="108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8"/>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Practice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Style w:val="None"/>
                <w:sz w:val="20"/>
                <w:szCs w:val="20"/>
                <w:shd w:val="nil" w:color="auto" w:fill="auto"/>
                <w:rtl w:val="0"/>
                <w:lang w:val="en-US"/>
              </w:rPr>
              <w:t>Students complete workbook reflections, participate in small-group discussions, complete the ASVAB Mini Challenge, compare benefits and commitments, and independently explore military branches and careers using official resources.</w:t>
            </w:r>
          </w:p>
        </w:tc>
      </w:tr>
      <w:tr>
        <w:tblPrEx>
          <w:shd w:val="clear" w:color="auto" w:fill="ced7e7"/>
        </w:tblPrEx>
        <w:trPr>
          <w:trHeight w:val="156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10"/>
              </w:numPr>
              <w:rPr>
                <w:rFonts w:ascii="Aptos" w:cs="Aptos" w:hAnsi="Aptos" w:eastAsia="Aptos"/>
                <w:b w:val="1"/>
                <w:bCs w:val="1"/>
                <w:sz w:val="20"/>
                <w:szCs w:val="20"/>
                <w:lang w:val="en-US"/>
              </w:rPr>
            </w:pPr>
            <w:r>
              <w:rPr>
                <w:rStyle w:val="None"/>
                <w:rFonts w:ascii="Aptos" w:cs="Aptos" w:hAnsi="Aptos" w:eastAsia="Aptos"/>
                <w:b w:val="0"/>
                <w:bCs w:val="0"/>
                <w:sz w:val="20"/>
                <w:szCs w:val="20"/>
                <w:shd w:val="nil" w:color="auto" w:fill="auto"/>
                <w:rtl w:val="0"/>
                <w:lang w:val="en-US"/>
              </w:rPr>
              <w:t>Summarize: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spacing w:after="240"/>
            </w:pPr>
            <w:r>
              <w:rPr>
                <w:rStyle w:val="None"/>
                <w:sz w:val="20"/>
                <w:szCs w:val="20"/>
                <w:shd w:val="nil" w:color="auto" w:fill="auto"/>
                <w:rtl w:val="0"/>
                <w:lang w:val="en-US"/>
              </w:rPr>
              <w:t>Students complete the final workbook reflection and identify their next steps. Reinforce that military service is one of many postsecondary options. The goal is to make informed decisions that align with each student's interests, values, and future goals. Encourage students to continue researching, speak with trusted adults, and meet with recruiters if they wish to explore military service further.</w:t>
            </w:r>
          </w:p>
        </w:tc>
      </w:tr>
    </w:tbl>
    <w:p>
      <w:pPr>
        <w:pStyle w:val="Body"/>
      </w:pPr>
    </w:p>
    <w:p>
      <w:pPr>
        <w:pStyle w:val="Body"/>
        <w:jc w:val="center"/>
      </w:pPr>
      <w:r>
        <w:rPr>
          <w:rStyle w:val="None"/>
          <w:rFonts w:ascii="Aptos" w:cs="Aptos" w:hAnsi="Aptos" w:eastAsia="Aptos"/>
          <w:b w:val="1"/>
          <w:bCs w:val="1"/>
          <w:sz w:val="28"/>
          <w:szCs w:val="28"/>
          <w:rtl w:val="0"/>
          <w:lang w:val="en-US"/>
        </w:rPr>
        <w:t>END OF PLAN</w:t>
      </w:r>
    </w:p>
    <w:sectPr>
      <w:headerReference w:type="default" r:id="rId7"/>
      <w:footerReference w:type="default" r:id="rId8"/>
      <w:pgSz w:w="12240" w:h="15840" w:orient="portrait"/>
      <w:pgMar w:top="1918" w:right="1440" w:bottom="1440" w:left="1440"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Aptos">
    <w:charset w:val="00"/>
    <w:family w:val="roman"/>
    <w:pitch w:val="default"/>
  </w:font>
  <w:font w:name="Cambria">
    <w:charset w:val="00"/>
    <w:family w:val="roman"/>
    <w:pitch w:val="default"/>
  </w:font>
  <w:font w:name="MS Gothic">
    <w:charset w:val="00"/>
    <w:family w:val="roman"/>
    <w:pitch w:val="default"/>
  </w:font>
  <w:font w:name="Noto Sans Symbol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jc w:val="cente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pP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fldChar w:fldCharType="begin" w:fldLock="0"/>
    </w: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instrText xml:space="preserve"> PAGE </w:instrText>
    </w: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fldChar w:fldCharType="separate" w:fldLock="0"/>
    </w:r>
    <w:r>
      <w:rPr>
        <w:rFonts w:ascii="Aptos" w:cs="Aptos" w:hAnsi="Aptos" w:eastAsia="Aptos"/>
        <w:caps w:val="0"/>
        <w:smallCaps w:val="0"/>
        <w:strike w:val="0"/>
        <w:dstrike w:val="0"/>
        <w:outline w:val="0"/>
        <w:color w:val="000000"/>
        <w:sz w:val="16"/>
        <w:szCs w:val="16"/>
        <w:u w:val="none" w:color="000000"/>
        <w:shd w:val="nil" w:color="auto" w:fill="auto"/>
        <w:vertAlign w:val="baseline"/>
        <w14:textFill>
          <w14:solidFill>
            <w14:srgbClr w14:val="000000"/>
          </w14:solidFill>
        </w14:textFill>
      </w:rPr>
      <w:fldChar w:fldCharType="end" w:fldLock="0"/>
    </w:r>
  </w:p>
  <w:p>
    <w:pPr>
      <w:pStyle w:val="Body"/>
      <w:tabs>
        <w:tab w:val="center" w:pos="4680"/>
        <w:tab w:val="right" w:pos="9340"/>
      </w:tabs>
    </w:pP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en-US"/>
        <w14:textFill>
          <w14:solidFill>
            <w14:srgbClr w14:val="000000"/>
          </w14:solidFill>
        </w14:textFill>
      </w:rPr>
      <w:t>ASCA National Model</w:t>
    </w: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en-US"/>
        <w14:textFill>
          <w14:solidFill>
            <w14:srgbClr w14:val="000000"/>
          </w14:solidFill>
        </w14:textFill>
      </w:rPr>
      <w:t xml:space="preserve">® </w:t>
    </w: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de-DE"/>
        <w14:textFill>
          <w14:solidFill>
            <w14:srgbClr w14:val="000000"/>
          </w14:solidFill>
        </w14:textFill>
      </w:rPr>
      <w:t xml:space="preserve">Fifth Edition </w:t>
      <w:tab/>
      <w:t>8/25 v2</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2497449</wp:posOffset>
              </wp:positionH>
              <wp:positionV relativeFrom="page">
                <wp:posOffset>245110</wp:posOffset>
              </wp:positionV>
              <wp:extent cx="4594220" cy="594281"/>
              <wp:effectExtent l="0" t="0" r="0" b="0"/>
              <wp:wrapNone/>
              <wp:docPr id="1073741826" name="officeArt object" descr="Lesson Plan and Data Report"/>
              <wp:cNvGraphicFramePr/>
              <a:graphic xmlns:a="http://schemas.openxmlformats.org/drawingml/2006/main">
                <a:graphicData uri="http://schemas.microsoft.com/office/word/2010/wordprocessingShape">
                  <wps:wsp>
                    <wps:cNvSpPr txBox="1"/>
                    <wps:spPr>
                      <a:xfrm>
                        <a:off x="0" y="0"/>
                        <a:ext cx="4594220" cy="594281"/>
                      </a:xfrm>
                      <a:prstGeom prst="rect">
                        <a:avLst/>
                      </a:prstGeom>
                      <a:noFill/>
                      <a:ln w="12700" cap="flat">
                        <a:noFill/>
                        <a:miter lim="400000"/>
                      </a:ln>
                      <a:effectLst/>
                    </wps:spPr>
                    <wps:txbx>
                      <w:txbxContent>
                        <w:p>
                          <w:pPr>
                            <w:pStyle w:val="Body"/>
                          </w:pPr>
                          <w:r>
                            <w:rPr>
                              <w:rFonts w:ascii="Aptos" w:cs="Aptos" w:hAnsi="Aptos" w:eastAsia="Aptos"/>
                              <w:b w:val="1"/>
                              <w:bCs w:val="1"/>
                              <w:caps w:val="0"/>
                              <w:smallCaps w:val="0"/>
                              <w:strike w:val="0"/>
                              <w:dstrike w:val="0"/>
                              <w:outline w:val="0"/>
                              <w:color w:val="ffffff"/>
                              <w:sz w:val="36"/>
                              <w:szCs w:val="36"/>
                              <w:u w:color="ffffff"/>
                              <w:vertAlign w:val="baseline"/>
                              <w:rtl w:val="0"/>
                              <w:lang w:val="en-US"/>
                              <w14:textFill>
                                <w14:solidFill>
                                  <w14:srgbClr w14:val="FFFFFF"/>
                                </w14:solidFill>
                              </w14:textFill>
                            </w:rPr>
                            <w:t>Lesson Plan and Data Report</w:t>
                          </w:r>
                        </w:p>
                      </w:txbxContent>
                    </wps:txbx>
                    <wps:bodyPr wrap="square" lIns="45699" tIns="45699" rIns="45699" bIns="45699" numCol="1" anchor="ctr">
                      <a:noAutofit/>
                    </wps:bodyPr>
                  </wps:wsp>
                </a:graphicData>
              </a:graphic>
            </wp:anchor>
          </w:drawing>
        </mc:Choice>
        <mc:Fallback>
          <w:pict>
            <v:shape id="_x0000_s1026" type="#_x0000_t202" style="visibility:visible;position:absolute;margin-left:196.6pt;margin-top:19.3pt;width:361.7pt;height:46.8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rFonts w:ascii="Aptos" w:cs="Aptos" w:hAnsi="Aptos" w:eastAsia="Aptos"/>
                        <w:b w:val="1"/>
                        <w:bCs w:val="1"/>
                        <w:caps w:val="0"/>
                        <w:smallCaps w:val="0"/>
                        <w:strike w:val="0"/>
                        <w:dstrike w:val="0"/>
                        <w:outline w:val="0"/>
                        <w:color w:val="ffffff"/>
                        <w:sz w:val="36"/>
                        <w:szCs w:val="36"/>
                        <w:u w:color="ffffff"/>
                        <w:vertAlign w:val="baseline"/>
                        <w:rtl w:val="0"/>
                        <w:lang w:val="en-US"/>
                        <w14:textFill>
                          <w14:solidFill>
                            <w14:srgbClr w14:val="FFFFFF"/>
                          </w14:solidFill>
                        </w14:textFill>
                      </w:rPr>
                      <w:t>Lesson Plan and Data Report</w:t>
                    </w:r>
                  </w:p>
                </w:txbxContent>
              </v:textbox>
              <w10:wrap type="none" side="bothSides" anchorx="page" anchory="page"/>
            </v:shape>
          </w:pict>
        </mc:Fallback>
      </mc:AlternateContent>
    </w:r>
    <w:r>
      <w:rPr>
        <w:outline w:val="0"/>
        <w:color w:val="000000"/>
        <w:u w:color="000000"/>
        <w14:textFill>
          <w14:solidFill>
            <w14:srgbClr w14:val="000000"/>
          </w14:solidFill>
        </w14:textFill>
      </w:rPr>
      <w:drawing xmlns:a="http://schemas.openxmlformats.org/drawingml/2006/main">
        <wp:inline distT="0" distB="0" distL="0" distR="0">
          <wp:extent cx="5943473" cy="786748"/>
          <wp:effectExtent l="0" t="0" r="0" b="0"/>
          <wp:docPr id="1073741825" name="officeArt object" descr="Lesson Plan and Data Report"/>
          <wp:cNvGraphicFramePr/>
          <a:graphic xmlns:a="http://schemas.openxmlformats.org/drawingml/2006/main">
            <a:graphicData uri="http://schemas.openxmlformats.org/drawingml/2006/picture">
              <pic:pic xmlns:pic="http://schemas.openxmlformats.org/drawingml/2006/picture">
                <pic:nvPicPr>
                  <pic:cNvPr id="1073741825" name="Lesson Plan and Data Report" descr="Lesson Plan and Data Report"/>
                  <pic:cNvPicPr>
                    <a:picLocks noChangeAspect="1"/>
                  </pic:cNvPicPr>
                </pic:nvPicPr>
                <pic:blipFill>
                  <a:blip r:embed="rId1">
                    <a:extLst/>
                  </a:blip>
                  <a:stretch>
                    <a:fillRect/>
                  </a:stretch>
                </pic:blipFill>
                <pic:spPr>
                  <a:xfrm>
                    <a:off x="0" y="0"/>
                    <a:ext cx="5943473" cy="786748"/>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6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tab"/>
        <w:lvlText w:val="●"/>
        <w:lvlJc w:val="left"/>
        <w:pPr>
          <w:ind w:left="38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start w:val="1"/>
        <w:numFmt w:val="bullet"/>
        <w:suff w:val="tab"/>
        <w:lvlText w:val="o"/>
        <w:lvlJc w:val="left"/>
        <w:pPr>
          <w:ind w:left="110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start w:val="1"/>
        <w:numFmt w:val="bullet"/>
        <w:suff w:val="tab"/>
        <w:lvlText w:val="▪"/>
        <w:lvlJc w:val="left"/>
        <w:pPr>
          <w:ind w:left="1823" w:hanging="23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start w:val="1"/>
        <w:numFmt w:val="bullet"/>
        <w:suff w:val="tab"/>
        <w:lvlText w:val="●"/>
        <w:lvlJc w:val="left"/>
        <w:pPr>
          <w:ind w:left="254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bullet"/>
        <w:suff w:val="tab"/>
        <w:lvlText w:val="o"/>
        <w:lvlJc w:val="left"/>
        <w:pPr>
          <w:ind w:left="326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bullet"/>
        <w:suff w:val="tab"/>
        <w:lvlText w:val="▪"/>
        <w:lvlJc w:val="left"/>
        <w:pPr>
          <w:ind w:left="3983" w:hanging="23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bullet"/>
        <w:suff w:val="tab"/>
        <w:lvlText w:val="●"/>
        <w:lvlJc w:val="left"/>
        <w:pPr>
          <w:ind w:left="470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bullet"/>
        <w:suff w:val="tab"/>
        <w:lvlText w:val="o"/>
        <w:lvlJc w:val="left"/>
        <w:pPr>
          <w:ind w:left="5423" w:hanging="23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bullet"/>
        <w:suff w:val="tab"/>
        <w:lvlText w:val="▪"/>
        <w:lvlJc w:val="left"/>
        <w:pPr>
          <w:ind w:left="6143" w:hanging="23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3">
    <w:abstractNumId w:val="1"/>
  </w:num>
  <w:num w:numId="4">
    <w:abstractNumId w:val="2"/>
  </w:num>
  <w:num w:numId="5">
    <w:abstractNumId w:val="2"/>
    <w:lvlOverride w:ilvl="0">
      <w:startOverride w:val="2"/>
    </w:lvlOverride>
  </w:num>
  <w:num w:numId="6">
    <w:abstractNumId w:val="3"/>
  </w:num>
  <w:num w:numId="7">
    <w:abstractNumId w:val="4"/>
  </w:num>
  <w:num w:numId="8">
    <w:abstractNumId w:val="4"/>
    <w:lvlOverride w:ilvl="0">
      <w:startOverride w:val="3"/>
    </w:lvlOverride>
  </w:num>
  <w:num w:numId="9">
    <w:abstractNumId w:val="5"/>
  </w:num>
  <w:num w:numId="10">
    <w:abstractNumId w:val="5"/>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sz w:val="18"/>
      <w:szCs w:val="18"/>
      <w:u w:val="single" w:color="0000ff"/>
      <w:shd w:val="nil" w:color="auto" w:fill="auto"/>
      <w:lang w:val="en-US"/>
      <w14:textFill>
        <w14:solidFill>
          <w14:srgbClr w14:val="0000FF"/>
        </w14:solidFill>
      </w14:textFill>
    </w:rPr>
  </w:style>
  <w:style w:type="paragraph" w:styleId="Heading 3">
    <w:name w:val="Heading 3"/>
    <w:next w:val="Body"/>
    <w:pPr>
      <w:keepNext w:val="1"/>
      <w:keepLines w:val="1"/>
      <w:pageBreakBefore w:val="0"/>
      <w:widowControl w:val="0"/>
      <w:shd w:val="clear" w:color="auto" w:fill="auto"/>
      <w:suppressAutoHyphens w:val="0"/>
      <w:bidi w:val="0"/>
      <w:spacing w:before="280" w:after="80" w:line="240" w:lineRule="auto"/>
      <w:ind w:left="0" w:right="0" w:firstLine="0"/>
      <w:jc w:val="left"/>
      <w:outlineLvl w:val="2"/>
    </w:pPr>
    <w:rPr>
      <w:rFonts w:ascii="Open Sans" w:cs="Open Sans" w:hAnsi="Open Sans" w:eastAsia="Open San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