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59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Adult Education Transition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Curriculum Unit</w:t>
      </w:r>
    </w:p>
    <w:p w:rsidR="00000000" w:rsidDel="00000000" w:rsidP="00000000" w:rsidRDefault="00000000" w:rsidRPr="00000000" w14:paraId="00000005">
      <w:pPr>
        <w:keepLines w:val="1"/>
        <w:pBdr>
          <w:left w:color="1d4289" w:space="8" w:sz="22" w:val="single"/>
        </w:pBdr>
        <w:shd w:fill="e8eef8" w:val="clear"/>
        <w:spacing w:after="180" w:before="80" w:line="283" w:lineRule="auto"/>
        <w:ind w:left="173" w:right="115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sz w:val="20"/>
          <w:szCs w:val="20"/>
          <w:rtl w:val="0"/>
        </w:rPr>
        <w:t xml:space="preserve">UNIT FOCUS  </w:t>
      </w:r>
      <w:r w:rsidDel="00000000" w:rsidR="00000000" w:rsidRPr="00000000">
        <w:rPr>
          <w:rFonts w:ascii="Arial" w:cs="Arial" w:eastAsia="Arial" w:hAnsi="Arial"/>
          <w:b w:val="1"/>
          <w:bCs w:val="1"/>
          <w:color w:val="1f2937"/>
          <w:sz w:val="21"/>
          <w:szCs w:val="21"/>
          <w:rtl w:val="0"/>
        </w:rPr>
        <w:t xml:space="preserve">Start with the destination, not only the immediate class.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rPr/>
      </w:pPr>
      <w:r w:rsidDel="00000000" w:rsidR="00000000" w:rsidRPr="00000000">
        <w:rPr>
          <w:rtl w:val="0"/>
        </w:rPr>
        <w:t xml:space="preserve">Unit snapshot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Recommended setting: </w:t>
      </w:r>
      <w:r w:rsidDel="00000000" w:rsidR="00000000" w:rsidRPr="00000000">
        <w:rPr>
          <w:rtl w:val="0"/>
        </w:rPr>
        <w:t xml:space="preserve">Advisory, college and career readiness, counseling seminar, or student success course</w:t>
      </w:r>
    </w:p>
    <w:p w:rsidR="00000000" w:rsidDel="00000000" w:rsidP="00000000" w:rsidRDefault="00000000" w:rsidRPr="00000000" w14:paraId="00000008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Time: </w:t>
      </w:r>
      <w:r w:rsidDel="00000000" w:rsidR="00000000" w:rsidRPr="00000000">
        <w:rPr>
          <w:rtl w:val="0"/>
        </w:rPr>
        <w:t xml:space="preserve">40-50 minutes, with an optional follow-up check-in</w:t>
      </w:r>
    </w:p>
    <w:p w:rsidR="00000000" w:rsidDel="00000000" w:rsidP="00000000" w:rsidRDefault="00000000" w:rsidRPr="00000000" w14:paraId="00000009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Student outcome: </w:t>
      </w:r>
      <w:r w:rsidDel="00000000" w:rsidR="00000000" w:rsidRPr="00000000">
        <w:rPr>
          <w:rtl w:val="0"/>
        </w:rPr>
        <w:t xml:space="preserve">Each student identifies one verified next step connected to adult education transition and names the owner of the information.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objectives</w:t>
      </w:r>
    </w:p>
    <w:p w:rsidR="00000000" w:rsidDel="00000000" w:rsidP="00000000" w:rsidRDefault="00000000" w:rsidRPr="00000000" w14:paraId="0000000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Explain the core purpose of adult education transition in their own words.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Separate stable guidance from details that must be verified.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Choose and document an appropriate next action and follow-up date.</w:t>
      </w:r>
    </w:p>
    <w:p w:rsidR="00000000" w:rsidDel="00000000" w:rsidP="00000000" w:rsidRDefault="00000000" w:rsidRPr="00000000" w14:paraId="0000000E">
      <w:pPr>
        <w:pStyle w:val="Heading2"/>
        <w:rPr/>
      </w:pPr>
      <w:r w:rsidDel="00000000" w:rsidR="00000000" w:rsidRPr="00000000">
        <w:rPr>
          <w:rtl w:val="0"/>
        </w:rPr>
        <w:t xml:space="preserve">Lesson sequence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Launch (5 minutes): Ask what students already know or wonder about adult education transition.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Model (8 minutes): Demonstrate how to find the information owner and identify the date on an official source.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Explore (15 minutes): Students review the key points and apply them to a realistic planning scenario.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Plan (10 minutes): Students complete the action sequence below and record what still needs verification.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Exit ticket (5 minutes): Students name one next step, one owner, and one check-back date.</w:t>
      </w:r>
    </w:p>
    <w:p w:rsidR="00000000" w:rsidDel="00000000" w:rsidP="00000000" w:rsidRDefault="00000000" w:rsidRPr="00000000" w14:paraId="00000014">
      <w:pPr>
        <w:pStyle w:val="Heading2"/>
        <w:rPr/>
      </w:pPr>
      <w:r w:rsidDel="00000000" w:rsidR="00000000" w:rsidRPr="00000000">
        <w:rPr>
          <w:rtl w:val="0"/>
        </w:rPr>
        <w:t xml:space="preserve">Student action sequence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Name the long-term education or employment goal.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Assess the current starting point and barriers.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Select the Adult Education route that builds the needed skill or credential.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Confirm provider, intake, assessment, schedule, and capacity.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spacing w:after="0" w:afterAutospacing="0"/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Create the next-step connection to training, apprenticeship, employment, or college.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>
          <w:u w:val="none"/>
        </w:rPr>
      </w:pPr>
      <w:r w:rsidDel="00000000" w:rsidR="00000000" w:rsidRPr="00000000">
        <w:rPr>
          <w:rtl w:val="0"/>
        </w:rPr>
        <w:t xml:space="preserve">Set a follow-up date and continuity route.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Teacher prompts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part of this guidance is stable across settings?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Which detail could change by student, school, program, employer, or date?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Who owns the answer, and how will you document what you learn?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Access, differentiation, and extension</w:t>
      </w:r>
    </w:p>
    <w:p w:rsidR="00000000" w:rsidDel="00000000" w:rsidP="00000000" w:rsidRDefault="00000000" w:rsidRPr="00000000" w14:paraId="00000020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Read key source language aloud and provide a plain-language summary.</w:t>
      </w:r>
    </w:p>
    <w:p w:rsidR="00000000" w:rsidDel="00000000" w:rsidP="00000000" w:rsidRDefault="00000000" w:rsidRPr="00000000" w14:paraId="00000021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Allow students to respond orally, in writing, or through a counselor-supported planning conversation.</w:t>
      </w:r>
    </w:p>
    <w:p w:rsidR="00000000" w:rsidDel="00000000" w:rsidP="00000000" w:rsidRDefault="00000000" w:rsidRPr="00000000" w14:paraId="00000022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Pair students for source navigation while requiring each student to record an individual next step.</w:t>
      </w:r>
    </w:p>
    <w:p w:rsidR="00000000" w:rsidDel="00000000" w:rsidP="00000000" w:rsidRDefault="00000000" w:rsidRPr="00000000" w14:paraId="00000023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Extend the lesson by comparing two verified routes or resources and naming the decision criteria.</w:t>
      </w:r>
    </w:p>
    <w:p w:rsidR="00000000" w:rsidDel="00000000" w:rsidP="00000000" w:rsidRDefault="00000000" w:rsidRPr="00000000" w14:paraId="00000024">
      <w:pPr>
        <w:pStyle w:val="Heading2"/>
        <w:rPr/>
      </w:pPr>
      <w:r w:rsidDel="00000000" w:rsidR="00000000" w:rsidRPr="00000000">
        <w:rPr>
          <w:rtl w:val="0"/>
        </w:rPr>
        <w:t xml:space="preserve">Facilitator boundaries</w:t>
      </w:r>
    </w:p>
    <w:p w:rsidR="00000000" w:rsidDel="00000000" w:rsidP="00000000" w:rsidRDefault="00000000" w:rsidRPr="00000000" w14:paraId="00000025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promise eligibility, availability, admission, funding, placement, credit, licensure, or an outcome.</w:t>
      </w:r>
    </w:p>
    <w:p w:rsidR="00000000" w:rsidDel="00000000" w:rsidP="00000000" w:rsidRDefault="00000000" w:rsidRPr="00000000" w14:paraId="0000002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Recheck dynamic information with the official owner before the student acts.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Do not promise eligibility, admission, placement, funding, timing, or program availability. Use current official sources and local policy before presenting a specific requirement as fact.</w:t>
      </w:r>
    </w:p>
    <w:p w:rsidR="00000000" w:rsidDel="00000000" w:rsidP="00000000" w:rsidRDefault="00000000" w:rsidRPr="00000000" w14:paraId="00000028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pgSz w:h="15840" w:w="12240" w:orient="portrait"/>
      <w:pgMar w:bottom="1152" w:top="1152" w:left="1152" w:right="1152" w:header="490" w:footer="49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59 Adult Education Transition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CURRICULUM UNIT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1"/>
        <w:szCs w:val="21"/>
        <w:lang w:val="en"/>
      </w:rPr>
    </w:rPrDefault>
    <w:pPrDefault>
      <w:pPr>
        <w:spacing w:after="80" w:line="283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40" w:line="250" w:lineRule="auto"/>
    </w:pPr>
    <w:rPr>
      <w:rFonts w:ascii="Arial" w:cs="Arial" w:eastAsia="Arial" w:hAnsi="Arial"/>
      <w:b w:val="1"/>
      <w:bCs w:val="1"/>
      <w:color w:val="1d4289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80" w:line="250" w:lineRule="auto"/>
    </w:pPr>
    <w:rPr>
      <w:rFonts w:ascii="Arial" w:cs="Arial" w:eastAsia="Arial" w:hAnsi="Arial"/>
      <w:b w:val="1"/>
      <w:bCs w:val="1"/>
      <w:color w:val="1d4289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80" w:before="0" w:line="240" w:lineRule="auto"/>
    </w:pPr>
    <w:rPr>
      <w:rFonts w:ascii="Arial" w:cs="Arial" w:eastAsia="Arial" w:hAnsi="Arial"/>
      <w:b w:val="1"/>
      <w:bCs w:val="1"/>
      <w:color w:val="1d4289"/>
      <w:sz w:val="46"/>
      <w:szCs w:val="46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20" w:before="0" w:line="240" w:lineRule="auto"/>
    </w:pPr>
    <w:rPr>
      <w:rFonts w:ascii="Arial" w:eastAsia="Arial" w:hAnsi="Arial"/>
      <w:b w:val="0"/>
      <w:color w:val="667085"/>
      <w:sz w:val="17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160" w:before="0" w:line="252.00000000000003" w:lineRule="auto"/>
    </w:pPr>
    <w:rPr>
      <w:rFonts w:ascii="Arial" w:cs="Arial" w:eastAsia="Arial" w:hAnsi="Arial"/>
      <w:b w:val="0"/>
      <w:bCs w:val="0"/>
      <w:i w:val="1"/>
      <w:iCs w:val="1"/>
      <w:color w:val="4a5568"/>
      <w:sz w:val="25"/>
      <w:szCs w:val="25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joblink.delaware.gov/" TargetMode="External"/><Relationship Id="rId10" Type="http://schemas.openxmlformats.org/officeDocument/2006/relationships/hyperlink" Target="https://education.delaware.gov/families/college-career-life/adult-education/multilingual-learners/" TargetMode="External"/><Relationship Id="rId13" Type="http://schemas.openxmlformats.org/officeDocument/2006/relationships/footer" Target="footer1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education.delaware.gov/families/college-career-life/adult-education/high-school-diploma-groves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cnW4Ozd5zsi+f23vx7issf1kyw==">CgMxLjA4AHIhMXNyNXN5WVZJYnZmMGxNaUxVZ29ydEs2Z2kyTHpWbVBT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