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59  |  SUPPORT SERVICE</w:t>
      </w:r>
    </w:p>
    <w:p w:rsidR="00000000" w:rsidDel="00000000" w:rsidP="00000000" w:rsidRDefault="00000000" w:rsidRPr="00000000" w14:paraId="00000003">
      <w:pPr>
        <w:pStyle w:val="Title"/>
        <w:rPr/>
      </w:pPr>
      <w:r w:rsidDel="00000000" w:rsidR="00000000" w:rsidRPr="00000000">
        <w:rPr>
          <w:rtl w:val="0"/>
        </w:rPr>
        <w:t xml:space="preserve">Adult Education Transition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Adult Education Transition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Start with the destination, not only the immediate class.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adult education transition,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long-term education or employment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Assess the current starting point and barriers.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Select the Adult Education route that builds the needed skill or credential.</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59 Adult Education Transition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joblink.delaware.gov/" TargetMode="External"/><Relationship Id="rId10" Type="http://schemas.openxmlformats.org/officeDocument/2006/relationships/hyperlink" Target="https://education.delaware.gov/families/college-career-life/adult-education/multilingual-learne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delaware.gov/families/college-career-life/adult-education/high-school-diploma-grov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adult-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CC3FSxR0xHz5tzP4NXeDnW8KqA==">CgMxLjA4AHIhMUM0S2RjQloyS3A4aTVCbERpQTI1YXFDQVpLT1dxNC1w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