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51  |  SUPPORT SERVICE</w:t>
      </w:r>
    </w:p>
    <w:p w:rsidR="00000000" w:rsidDel="00000000" w:rsidP="00000000" w:rsidRDefault="00000000" w:rsidRPr="00000000" w14:paraId="00000003">
      <w:pPr>
        <w:pStyle w:val="Title"/>
        <w:rPr/>
      </w:pPr>
      <w:r w:rsidDel="00000000" w:rsidR="00000000" w:rsidRPr="00000000">
        <w:rPr>
          <w:rtl w:val="0"/>
        </w:rPr>
        <w:t xml:space="preserve">Senior Launch Checklist</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Senior Launch Checklist</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the Senior Launch Checklist is designed to help students move from general awareness to one verified next step. A senior launch checklist converts a chosen postsecondary route into assigned tasks, deadlines, confirmations, and summer follow-up through the first day.</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Careeronestop: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51 Senior Launch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www.careeronestop.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complete-aid-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K6weYocxOPFKerf2zBKoxHdlZg==">CgMxLjA4AHIhMUEzZEt2N3BfWGh3RzJmaGNnZ1dCMGNXRklaTTZRa19h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