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50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Reengagement &amp; Recovery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Reengagement starts with the student's current status and goal, then connects the student to the school, adult-education, credit-recovery, training, or workforce office that owns the next step.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reengagement &amp; recovery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Lead with possibility, not blame.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Obtain accurate transcript and enrollment information.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Explain routes without steering every student to the same option.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Connect to the official provider and confirm intake completion.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Coordinate career planning alongside credential completion.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Students may have different routes depending on age, credits, enrollment status, and local program rules.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Delaware adult education includes diploma, GED, basic education, ESL, and family literacy routes.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Credit recovery and alternative secondary options should be confirmed with the student's school or district.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credit acceptance, graduation timing, GED readiness, funding, or program availability.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Verify age, enrollment status, transcript, and local program rules with the responsible owner.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50 Reengagement &amp; Recovery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education.delaware.gov/families/college-career-life/adult-education/adult-basic-education-abe-ged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education.delaware.gov/families/college-career-life/adult-education/high-school-diploma-grove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education.delaware.gov/families/college-career-life/adult-educ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VSnZm3ExRC2lxBFGluEyPb+usQ==">CgMxLjA4AHIhMVQ1VjZuUnFyaEJCWmNIRFV6dlQ1amJfTGNzc3RFc2hG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