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Curriculum Unit</w:t>
      </w:r>
    </w:p>
    <w:p w:rsidR="00000000" w:rsidDel="00000000" w:rsidP="00000000" w:rsidRDefault="00000000" w:rsidRPr="00000000" w14:paraId="00000005">
      <w:pPr>
        <w:keepLines w:val="1"/>
        <w:pBdr>
          <w:left w:color="FF6720" w:space="8" w:sz="18" w:val="single"/>
        </w:pBdr>
        <w:shd w:fill="FFF2E8" w:val="clear"/>
        <w:spacing w:after="180" w:before="80" w:line="283" w:lineRule="auto"/>
        <w:ind w:left="173" w:right="115" w:firstLine="0"/>
        <w:rPr/>
      </w:pPr>
      <w:r>
        <w:t>UNIT FOCUS Turn a grade-12 plan into a readiness record: identify evidence, choose a status, assign the next action, and create a supported handoff. Use a late-grade-11 preview when helpful.</w:t>
      </w:r>
    </w:p>
    <w:p>
      <w:pPr>
        <w:pStyle w:val="Heading1"/>
      </w:pPr>
      <w:r>
        <w:t>Unit snapshot</w:t>
      </w:r>
    </w:p>
    <w:tbl>
      <w:tblPr>
        <w:tblStyle w:val="TableGrid"/>
        <w:tblW w:type="dxa" w:w="9360"/>
        <w:jc w:val="left"/>
        <w:tblLayout w:type="fixed"/>
        <w:tblLook w:firstColumn="1" w:firstRow="1" w:lastColumn="0" w:lastRow="0" w:noHBand="0" w:noVBand="1" w:val="04A0"/>
        <w:tblInd w:w="0" w:type="dxa"/>
      </w:tblPr>
      <w:tblGrid>
        <w:gridCol w:w="2100"/>
        <w:gridCol w:w="7260"/>
      </w:tblGrid>
      <w:tr>
        <w:trPr>
          <w:tblHeader w:val="true"/>
        </w:trPr>
        <w:tc>
          <w:tcPr>
            <w:tcW w:type="dxa" w:w="21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Planning field</w:t>
            </w:r>
          </w:p>
        </w:tc>
        <w:tc>
          <w:tcPr>
            <w:tcW w:type="dxa" w:w="726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Recommendation</w:t>
            </w:r>
          </w:p>
        </w:tc>
      </w:tr>
      <w:tr>
        <w:trPr>
          <w:cantSplit w:val="true"/>
        </w:trPr>
        <w:tc>
          <w:tcPr>
            <w:tcW w:type="dxa" w:w="21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Audience</w:t>
            </w:r>
          </w:p>
        </w:tc>
        <w:tc>
          <w:tcPr>
            <w:tcW w:type="dxa" w:w="72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Grade 12 core lesson; optional 20-minute preview in late grade 11</w:t>
            </w:r>
          </w:p>
        </w:tc>
      </w:tr>
      <w:tr>
        <w:trPr>
          <w:cantSplit w:val="true"/>
        </w:trPr>
        <w:tc>
          <w:tcPr>
            <w:tcW w:type="dxa" w:w="2100"/>
            <w:tcMar>
              <w:top w:w="80" w:type="dxa"/>
              <w:start w:w="120" w:type="dxa"/>
              <w:bottom w:w="80" w:type="dxa"/>
              <w:end w:w="120" w:type="dxa"/>
            </w:tcMar>
            <w:vAlign w:val="center"/>
          </w:tcPr>
          <w:p>
            <w:pPr>
              <w:spacing w:before="0" w:after="40" w:line="259" w:lineRule="auto"/>
            </w:pPr>
            <w:r>
              <w:rPr>
                <w:rFonts w:ascii="Arial" w:hAnsi="Arial"/>
                <w:color w:val="1F2937"/>
                <w:sz w:val="19"/>
              </w:rPr>
              <w:t>Setting</w:t>
            </w:r>
          </w:p>
        </w:tc>
        <w:tc>
          <w:tcPr>
            <w:tcW w:type="dxa" w:w="7260"/>
            <w:tcMar>
              <w:top w:w="80" w:type="dxa"/>
              <w:start w:w="120" w:type="dxa"/>
              <w:bottom w:w="80" w:type="dxa"/>
              <w:end w:w="120" w:type="dxa"/>
            </w:tcMar>
            <w:vAlign w:val="center"/>
          </w:tcPr>
          <w:p>
            <w:pPr>
              <w:spacing w:before="0" w:after="40" w:line="259" w:lineRule="auto"/>
            </w:pPr>
            <w:r>
              <w:rPr>
                <w:rFonts w:ascii="Arial" w:hAnsi="Arial"/>
                <w:color w:val="1F2937"/>
                <w:sz w:val="19"/>
              </w:rPr>
              <w:t>Advisory, counseling seminar, college and career readiness, Student Success Plan conference</w:t>
            </w:r>
          </w:p>
        </w:tc>
      </w:tr>
      <w:tr>
        <w:trPr>
          <w:cantSplit w:val="true"/>
        </w:trPr>
        <w:tc>
          <w:tcPr>
            <w:tcW w:type="dxa" w:w="21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Time</w:t>
            </w:r>
          </w:p>
        </w:tc>
        <w:tc>
          <w:tcPr>
            <w:tcW w:type="dxa" w:w="72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55 minutes plus a 15-20 minute follow-up check-in</w:t>
            </w:r>
          </w:p>
        </w:tc>
      </w:tr>
      <w:tr>
        <w:trPr>
          <w:cantSplit w:val="true"/>
        </w:trPr>
        <w:tc>
          <w:tcPr>
            <w:tcW w:type="dxa" w:w="2100"/>
            <w:tcMar>
              <w:top w:w="80" w:type="dxa"/>
              <w:start w:w="120" w:type="dxa"/>
              <w:bottom w:w="80" w:type="dxa"/>
              <w:end w:w="120" w:type="dxa"/>
            </w:tcMar>
            <w:vAlign w:val="center"/>
          </w:tcPr>
          <w:p>
            <w:pPr>
              <w:spacing w:before="0" w:after="40" w:line="259" w:lineRule="auto"/>
            </w:pPr>
            <w:r>
              <w:rPr>
                <w:rFonts w:ascii="Arial" w:hAnsi="Arial"/>
                <w:color w:val="1F2937"/>
                <w:sz w:val="19"/>
              </w:rPr>
              <w:t>Anchor artifact</w:t>
            </w:r>
          </w:p>
        </w:tc>
        <w:tc>
          <w:tcPr>
            <w:tcW w:type="dxa" w:w="7260"/>
            <w:tcMar>
              <w:top w:w="80" w:type="dxa"/>
              <w:start w:w="120" w:type="dxa"/>
              <w:bottom w:w="80" w:type="dxa"/>
              <w:end w:w="120" w:type="dxa"/>
            </w:tcMar>
            <w:vAlign w:val="center"/>
          </w:tcPr>
          <w:p>
            <w:pPr>
              <w:spacing w:before="0" w:after="40" w:line="259" w:lineRule="auto"/>
            </w:pPr>
            <w:r>
              <w:rPr>
                <w:rFonts w:ascii="Arial" w:hAnsi="Arial"/>
                <w:color w:val="1F2937"/>
                <w:sz w:val="19"/>
              </w:rPr>
              <w:t>Campaign 49 Student Readiness Tracker; students complete universal items and the relevant route section</w:t>
            </w:r>
          </w:p>
        </w:tc>
      </w:tr>
      <w:tr>
        <w:trPr>
          <w:cantSplit w:val="true"/>
        </w:trPr>
        <w:tc>
          <w:tcPr>
            <w:tcW w:type="dxa" w:w="21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Outcome</w:t>
            </w:r>
          </w:p>
        </w:tc>
        <w:tc>
          <w:tcPr>
            <w:tcW w:type="dxa" w:w="72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Each student leaves with task status, evidence location, owner/helper, due date, follow-up date, and a recorded SSP handoff</w:t>
            </w:r>
          </w:p>
        </w:tc>
      </w:tr>
    </w:tbl>
    <w:p>
      <w:pPr>
        <w:spacing w:after="0"/>
      </w:pPr>
    </w:p>
    <w:p>
      <w:pPr>
        <w:pStyle w:val="Heading2"/>
      </w:pPr>
      <w:r>
        <w:t>Learning objectives</w:t>
      </w:r>
    </w:p>
    <w:p>
      <w:pPr>
        <w:pStyle w:val="ListBullet"/>
      </w:pPr>
      <w:r>
        <w:t>Explain the difference between a planning timeline (Campaign 48) and a readiness check (Campaign 49).</w:t>
      </w:r>
    </w:p>
    <w:p>
      <w:pPr>
        <w:pStyle w:val="ListBullet"/>
      </w:pPr>
      <w:r>
        <w:t>Use a non-punitive status code and identify acceptable evidence without sharing private information.</w:t>
      </w:r>
    </w:p>
    <w:p>
      <w:pPr>
        <w:pStyle w:val="ListBullet"/>
      </w:pPr>
      <w:r>
        <w:t>Complete universal readiness items and the route-specific section that matches the student's current plan.</w:t>
      </w:r>
    </w:p>
    <w:p>
      <w:pPr>
        <w:pStyle w:val="ListBullet"/>
      </w:pPr>
      <w:r>
        <w:t>Break one missing item into a next action, owner/helper, due date, and follow-up date.</w:t>
      </w:r>
    </w:p>
    <w:p>
      <w:pPr>
        <w:pStyle w:val="ListBullet"/>
      </w:pPr>
      <w:r>
        <w:t>Save or summarize the result in the Student Success Plan or school-approved planning tool.</w:t>
      </w:r>
    </w:p>
    <w:p>
      <w:pPr>
        <w:pStyle w:val="Heading2"/>
      </w:pPr>
      <w:r>
        <w:t>Before class</w:t>
      </w:r>
    </w:p>
    <w:p>
      <w:pPr>
        <w:pStyle w:val="ListBullet"/>
      </w:pPr>
      <w:r>
        <w:t>Choose the secure location where students will save evidence labels and the completed tracker.</w:t>
      </w:r>
    </w:p>
    <w:p>
      <w:pPr>
        <w:pStyle w:val="ListBullet"/>
      </w:pPr>
      <w:r>
        <w:t>Add local counseling contacts, office hours, referral steps, and school-approved source links.</w:t>
      </w:r>
    </w:p>
    <w:p>
      <w:pPr>
        <w:pStyle w:val="ListBullet"/>
      </w:pPr>
      <w:r>
        <w:t>Decide how students who need private or individualized support can respond outside the whole-group setting.</w:t>
      </w:r>
    </w:p>
    <w:p>
      <w:pPr>
        <w:pStyle w:val="ListBullet"/>
      </w:pPr>
      <w:r>
        <w:t>Review route-sensitive dates and requirements before presenting them as current facts.</w:t>
      </w:r>
    </w:p>
    <w:p>
      <w:pPr>
        <w:pStyle w:val="Heading1"/>
      </w:pPr>
      <w:r>
        <w:t>Lesson sequence - 55 minutes</w:t>
      </w:r>
    </w:p>
    <w:p>
      <w:pPr>
        <w:pStyle w:val="ListNumber"/>
      </w:pPr>
      <w:r>
        <w:t>Connect (5 minutes): Revisit Campaign 48. Ask: 'What was your next planning step? What proof would show it is complete?'</w:t>
      </w:r>
    </w:p>
    <w:p>
      <w:pPr>
        <w:pStyle w:val="ListNumber"/>
      </w:pPr>
      <w:r>
        <w:t>Teach the status key (8 minutes): Model NS, WIP, WAIT, DONE, HELP, and N/A. Emphasize that a status reports a task, not the student's ability or worth.</w:t>
      </w:r>
    </w:p>
    <w:p>
      <w:pPr>
        <w:pStyle w:val="ListNumber"/>
      </w:pPr>
      <w:r>
        <w:t>Model one item (10 minutes): Show how to record a safe evidence label, the action owner, due date, and a separate follow-up date.</w:t>
      </w:r>
    </w:p>
    <w:p>
      <w:pPr>
        <w:pStyle w:val="ListNumber"/>
      </w:pPr>
      <w:r>
        <w:t>Universal review (12 minutes): Students complete the universal section independently or with a partner/counselor. They may skip private discussion and request a confidential check-in.</w:t>
      </w:r>
    </w:p>
    <w:p>
      <w:pPr>
        <w:pStyle w:val="ListNumber"/>
      </w:pPr>
      <w:r>
        <w:t>Route review (12 minutes): Students complete the section for their primary route and keep a backup route visible.</w:t>
      </w:r>
    </w:p>
    <w:p>
      <w:pPr>
        <w:pStyle w:val="ListNumber"/>
      </w:pPr>
      <w:r>
        <w:t>Plan and handoff (6 minutes): Students choose the highest-priority unfinished item and record the next action in the SSP.</w:t>
      </w:r>
    </w:p>
    <w:p>
      <w:pPr>
        <w:pStyle w:val="ListNumber"/>
      </w:pPr>
      <w:r>
        <w:t>Exit ticket (2 minutes): Submit only the status summary and support request; do not submit private documents or account information.</w:t>
      </w:r>
    </w:p>
    <w:p>
      <w:r>
        <w:br w:type="page"/>
      </w:r>
    </w:p>
    <w:p>
      <w:pPr>
        <w:pStyle w:val="Heading2"/>
      </w:pPr>
      <w:r>
        <w:t>Teacher model</w:t>
      </w:r>
    </w:p>
    <w:p>
      <w:r>
        <w:t>Scenario: A student submitted a training-program application and saved the confirmation. The program has not replied. The correct status is WAIT, not DONE and not 'unready.' Evidence is 'application confirmation saved in secure folder.' The program admissions office owns the decision. The student's next action is a follow-up email on the published contact channel, due Friday; the counselor check-in is the following Tuesday.</w:t>
      </w:r>
    </w:p>
    <w:tbl>
      <w:tblPr>
        <w:tblStyle w:val="TableGrid"/>
        <w:tblW w:type="dxa" w:w="9360"/>
        <w:jc w:val="left"/>
        <w:tblLayout w:type="fixed"/>
        <w:tblLook w:firstColumn="1" w:firstRow="1" w:lastColumn="0" w:lastRow="0" w:noHBand="0" w:noVBand="1" w:val="04A0"/>
        <w:tblInd w:w="0" w:type="dxa"/>
      </w:tblPr>
      <w:tblGrid>
        <w:gridCol w:w="2500"/>
        <w:gridCol w:w="6860"/>
      </w:tblGrid>
      <w:tr>
        <w:trPr>
          <w:tblHeader w:val="true"/>
        </w:trPr>
        <w:tc>
          <w:tcPr>
            <w:tcW w:type="dxa" w:w="25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Field</w:t>
            </w:r>
          </w:p>
        </w:tc>
        <w:tc>
          <w:tcPr>
            <w:tcW w:type="dxa" w:w="686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Completed model</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Status</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WAIT - waiting on the program</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9"/>
              </w:rPr>
              <w:t>Evidence</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9"/>
              </w:rPr>
              <w:t>Application confirmation saved in secure folder</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Next action</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Send a short follow-up question through the program's official contact channel</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9"/>
              </w:rPr>
              <w:t>Owner/helper</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9"/>
              </w:rPr>
              <w:t>Student; counselor helps draft question; program office makes the decision</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Due / follow-up</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Student action Friday; counselor check-in Tuesday</w:t>
            </w:r>
          </w:p>
        </w:tc>
      </w:tr>
    </w:tbl>
    <w:p>
      <w:pPr>
        <w:spacing w:after="0"/>
      </w:pPr>
    </w:p>
    <w:p>
      <w:pPr>
        <w:pStyle w:val="Heading1"/>
      </w:pPr>
      <w:r>
        <w:t>Student work directions</w:t>
      </w:r>
    </w:p>
    <w:p>
      <w:pPr>
        <w:pStyle w:val="ListNumber"/>
      </w:pPr>
      <w:r>
        <w:t>Name your primary route and a backup. Complete the matching route section; if two routes are still active, complete both sections.</w:t>
      </w:r>
    </w:p>
    <w:p>
      <w:pPr>
        <w:pStyle w:val="ListNumber"/>
      </w:pPr>
      <w:r>
        <w:t>Complete the universal readiness check. Use a safe evidence label instead of attaching private records.</w:t>
      </w:r>
    </w:p>
    <w:p>
      <w:pPr>
        <w:pStyle w:val="ListNumber"/>
      </w:pPr>
      <w:r>
        <w:t>Circle or highlight the unfinished item most likely to block your next transition step.</w:t>
      </w:r>
    </w:p>
    <w:p>
      <w:pPr>
        <w:pStyle w:val="ListNumber"/>
      </w:pPr>
      <w:r>
        <w:t>Record one next action, the person or office that can help, a due date, and a follow-up date.</w:t>
      </w:r>
    </w:p>
    <w:p>
      <w:pPr>
        <w:pStyle w:val="ListNumber"/>
      </w:pPr>
      <w:r>
        <w:t>Update your SSP or school-approved planning tool and request a private check-in if needed.</w:t>
      </w:r>
    </w:p>
    <w:p>
      <w:pPr>
        <w:pStyle w:val="Heading2"/>
      </w:pPr>
      <w:r>
        <w:t>Submission criteria</w:t>
      </w:r>
    </w:p>
    <w:tbl>
      <w:tblPr>
        <w:tblStyle w:val="TableGrid"/>
        <w:tblW w:type="dxa" w:w="9360"/>
        <w:jc w:val="left"/>
        <w:tblLayout w:type="fixed"/>
        <w:tblLook w:firstColumn="1" w:firstRow="1" w:lastColumn="0" w:lastRow="0" w:noHBand="0" w:noVBand="1" w:val="04A0"/>
        <w:tblInd w:w="0" w:type="dxa"/>
      </w:tblPr>
      <w:tblGrid>
        <w:gridCol w:w="4680"/>
        <w:gridCol w:w="4680"/>
      </w:tblGrid>
      <w:tr>
        <w:trPr>
          <w:tblHeader w:val="true"/>
        </w:trPr>
        <w:tc>
          <w:tcPr>
            <w:tcW w:type="dxa" w:w="4680"/>
            <w:shd w:fill="1D4289"/>
            <w:tcMar>
              <w:top w:w="80" w:type="dxa"/>
              <w:start w:w="120" w:type="dxa"/>
              <w:bottom w:w="80" w:type="dxa"/>
              <w:end w:w="120" w:type="dxa"/>
            </w:tcMar>
            <w:vAlign w:val="center"/>
          </w:tcPr>
          <w:p>
            <w:pPr>
              <w:spacing w:before="0" w:after="40" w:line="259" w:lineRule="auto"/>
            </w:pPr>
            <w:r>
              <w:rPr>
                <w:rFonts w:ascii="Arial" w:hAnsi="Arial"/>
                <w:b/>
                <w:color w:val="FFFFFF"/>
                <w:sz w:val="17"/>
              </w:rPr>
              <w:t>Meets the assignment</w:t>
            </w:r>
          </w:p>
        </w:tc>
        <w:tc>
          <w:tcPr>
            <w:tcW w:type="dxa" w:w="4680"/>
            <w:shd w:fill="1D4289"/>
            <w:tcMar>
              <w:top w:w="80" w:type="dxa"/>
              <w:start w:w="120" w:type="dxa"/>
              <w:bottom w:w="80" w:type="dxa"/>
              <w:end w:w="120" w:type="dxa"/>
            </w:tcMar>
            <w:vAlign w:val="center"/>
          </w:tcPr>
          <w:p>
            <w:pPr>
              <w:spacing w:before="0" w:after="40" w:line="259" w:lineRule="auto"/>
            </w:pPr>
            <w:r>
              <w:rPr>
                <w:rFonts w:ascii="Arial" w:hAnsi="Arial"/>
                <w:b/>
                <w:color w:val="FFFFFF"/>
                <w:sz w:val="17"/>
              </w:rPr>
              <w:t>Needs follow-up - not a penalty</w:t>
            </w:r>
          </w:p>
        </w:tc>
      </w:tr>
      <w:tr>
        <w:trPr>
          <w:cantSplit w:val="true"/>
        </w:trPr>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Primary and backup routes are named or the student requests help choosing.</w:t>
            </w:r>
          </w:p>
        </w:tc>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Student is unsure of a route; schedule exploration support.</w:t>
            </w:r>
          </w:p>
        </w:tc>
      </w:tr>
      <w:tr>
        <w:trPr>
          <w:cantSplit w:val="true"/>
        </w:trPr>
        <w:tc>
          <w:tcPr>
            <w:tcW w:type="dxa" w:w="4680"/>
            <w:tcMar>
              <w:top w:w="80" w:type="dxa"/>
              <w:start w:w="120" w:type="dxa"/>
              <w:bottom w:w="80" w:type="dxa"/>
              <w:end w:w="120" w:type="dxa"/>
            </w:tcMar>
            <w:vAlign w:val="center"/>
          </w:tcPr>
          <w:p>
            <w:pPr>
              <w:spacing w:before="0" w:after="40" w:line="259" w:lineRule="auto"/>
            </w:pPr>
            <w:r>
              <w:rPr>
                <w:rFonts w:ascii="Arial" w:hAnsi="Arial"/>
                <w:color w:val="1F2937"/>
                <w:sz w:val="17"/>
              </w:rPr>
              <w:t>Every universal item has a status; relevant route items are reviewed.</w:t>
            </w:r>
          </w:p>
        </w:tc>
        <w:tc>
          <w:tcPr>
            <w:tcW w:type="dxa" w:w="4680"/>
            <w:tcMar>
              <w:top w:w="80" w:type="dxa"/>
              <w:start w:w="120" w:type="dxa"/>
              <w:bottom w:w="80" w:type="dxa"/>
              <w:end w:w="120" w:type="dxa"/>
            </w:tcMar>
            <w:vAlign w:val="center"/>
          </w:tcPr>
          <w:p>
            <w:pPr>
              <w:spacing w:before="0" w:after="40" w:line="259" w:lineRule="auto"/>
            </w:pPr>
            <w:r>
              <w:rPr>
                <w:rFonts w:ascii="Arial" w:hAnsi="Arial"/>
                <w:color w:val="1F2937"/>
                <w:sz w:val="17"/>
              </w:rPr>
              <w:t>Blank items or repeated N/A entries; confirm understanding privately.</w:t>
            </w:r>
          </w:p>
        </w:tc>
      </w:tr>
      <w:tr>
        <w:trPr>
          <w:cantSplit w:val="true"/>
        </w:trPr>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At least one evidence location or safe evidence label is recorded.</w:t>
            </w:r>
          </w:p>
        </w:tc>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No evidence yet; help identify what proof could look like.</w:t>
            </w:r>
          </w:p>
        </w:tc>
      </w:tr>
      <w:tr>
        <w:trPr>
          <w:cantSplit w:val="true"/>
        </w:trPr>
        <w:tc>
          <w:tcPr>
            <w:tcW w:type="dxa" w:w="4680"/>
            <w:tcMar>
              <w:top w:w="80" w:type="dxa"/>
              <w:start w:w="120" w:type="dxa"/>
              <w:bottom w:w="80" w:type="dxa"/>
              <w:end w:w="120" w:type="dxa"/>
            </w:tcMar>
            <w:vAlign w:val="center"/>
          </w:tcPr>
          <w:p>
            <w:pPr>
              <w:spacing w:before="0" w:after="40" w:line="259" w:lineRule="auto"/>
            </w:pPr>
            <w:r>
              <w:rPr>
                <w:rFonts w:ascii="Arial" w:hAnsi="Arial"/>
                <w:color w:val="1F2937"/>
                <w:sz w:val="17"/>
              </w:rPr>
              <w:t>One next action includes owner/helper, due date, and follow-up date.</w:t>
            </w:r>
          </w:p>
        </w:tc>
        <w:tc>
          <w:tcPr>
            <w:tcW w:type="dxa" w:w="4680"/>
            <w:tcMar>
              <w:top w:w="80" w:type="dxa"/>
              <w:start w:w="120" w:type="dxa"/>
              <w:bottom w:w="80" w:type="dxa"/>
              <w:end w:w="120" w:type="dxa"/>
            </w:tcMar>
            <w:vAlign w:val="center"/>
          </w:tcPr>
          <w:p>
            <w:pPr>
              <w:spacing w:before="0" w:after="40" w:line="259" w:lineRule="auto"/>
            </w:pPr>
            <w:r>
              <w:rPr>
                <w:rFonts w:ascii="Arial" w:hAnsi="Arial"/>
                <w:color w:val="1F2937"/>
                <w:sz w:val="17"/>
              </w:rPr>
              <w:t>A barrier or outside-office delay exists; use HELP or WAIT and make a warm referral.</w:t>
            </w:r>
          </w:p>
        </w:tc>
      </w:tr>
      <w:tr>
        <w:trPr>
          <w:cantSplit w:val="true"/>
        </w:trPr>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No private information is included in the class submission.</w:t>
            </w:r>
          </w:p>
        </w:tc>
        <w:tc>
          <w:tcPr>
            <w:tcW w:type="dxa" w:w="4680"/>
            <w:shd w:fill="F8FAFC"/>
            <w:tcMar>
              <w:top w:w="80" w:type="dxa"/>
              <w:start w:w="120" w:type="dxa"/>
              <w:bottom w:w="80" w:type="dxa"/>
              <w:end w:w="120" w:type="dxa"/>
            </w:tcMar>
            <w:vAlign w:val="center"/>
          </w:tcPr>
          <w:p>
            <w:pPr>
              <w:spacing w:before="0" w:after="40" w:line="259" w:lineRule="auto"/>
            </w:pPr>
            <w:r>
              <w:rPr>
                <w:rFonts w:ascii="Arial" w:hAnsi="Arial"/>
                <w:color w:val="1F2937"/>
                <w:sz w:val="17"/>
              </w:rPr>
              <w:t>Private information appears; follow school privacy procedures and move the conversation to a secure setting.</w:t>
            </w:r>
          </w:p>
        </w:tc>
      </w:tr>
    </w:tbl>
    <w:p>
      <w:pPr>
        <w:spacing w:after="0"/>
      </w:pPr>
    </w:p>
    <w:p>
      <w:pPr>
        <w:pStyle w:val="Heading2"/>
      </w:pPr>
      <w:r>
        <w:t>Access and differentiation</w:t>
      </w:r>
    </w:p>
    <w:p>
      <w:pPr>
        <w:pStyle w:val="ListBullet"/>
      </w:pPr>
      <w:r>
        <w:t>Read key terms aloud and provide plain-language examples of evidence, owner, due date, and follow-up date.</w:t>
      </w:r>
    </w:p>
    <w:p>
      <w:pPr>
        <w:pStyle w:val="ListBullet"/>
      </w:pPr>
      <w:r>
        <w:t>Allow oral, written, translated, screen-reader-compatible, or counselor-supported completion.</w:t>
      </w:r>
    </w:p>
    <w:p>
      <w:pPr>
        <w:pStyle w:val="ListBullet"/>
      </w:pPr>
      <w:r>
        <w:t>Let students complete only the relevant route section; do not require disclosure of disability, immigration, health, financial, or family information in class.</w:t>
      </w:r>
    </w:p>
    <w:p>
      <w:pPr>
        <w:pStyle w:val="ListBullet"/>
      </w:pPr>
      <w:r>
        <w:t>Offer a private pathway for HELP items and a named staff follow-up rather than requiring public explanation.</w:t>
      </w:r>
    </w:p>
    <w:p>
      <w:pPr>
        <w:pStyle w:val="ListBullet"/>
      </w:pPr>
      <w:r>
        <w:t>For late grade 11, complete only the snapshot, status key, and a preview of three universal items; save the full tracker for grade 12.</w:t>
      </w: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pPr>
        <w:keepLines/>
        <w:spacing w:before="120" w:after="160"/>
        <w:ind w:left="115"/>
        <w:shd w:fill="F4F6F9"/>
        <w:pBdr>
          <w:left w:val="single" w:sz="18" w:space="8" w:color="FF6720"/>
        </w:pBdr>
      </w:pPr>
      <w:r>
        <w:rPr>
          <w:b/>
          <w:color w:val="1D4289"/>
        </w:rPr>
        <w:t xml:space="preserve">TRY LAUNCH AI  </w:t>
      </w:r>
      <w:r>
        <w:t>Start with one checklist item. Try: 'Explain net cost in plain language and give me three questions to ask the financial-aid office.' 'Turn this WAIT item into three small steps and draft a polite follow-up question.' 'Help me compare two transportation plans.' Use the answer to prepare, then check dates and requirements with the official source.</w:t>
      </w:r>
    </w:p>
    <w:p>
      <w:pPr>
        <w:pStyle w:val="Heading2"/>
      </w:pPr>
      <w:r>
        <w:t>Facilitator boundaries</w:t>
      </w:r>
    </w:p>
    <w:p>
      <w:pPr>
        <w:pStyle w:val="ListBullet"/>
      </w:pPr>
      <w:r>
        <w:t>Use the checklist to organize work; do not treat it as a universal eligibility test.</w:t>
      </w:r>
    </w:p>
    <w:p>
      <w:pPr>
        <w:pStyle w:val="ListBullet"/>
      </w:pPr>
      <w:r>
        <w:t>Verify route-specific requirements with the decision-making organization.</w:t>
      </w:r>
    </w:p>
    <w:p>
      <w:pPr>
        <w:pStyle w:val="ListBullet"/>
      </w:pPr>
      <w:r>
        <w:t>Do not score students lower because an outside office has not responded or because a barrier requires support.</w:t>
      </w:r>
    </w:p>
    <w:p>
      <w:pPr>
        <w:pStyle w:val="ListBullet"/>
      </w:pPr>
      <w:r>
        <w:t>Do not promise admission, funding, hiring, placement, enlistment, licensure, accommodations, or another outcome.</w:t>
      </w:r>
    </w:p>
    <w:p>
      <w:r>
        <w:br w:type="page"/>
      </w: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p>
      <w:pPr>
        <w:pStyle w:val="ListBullet"/>
      </w:pPr>
      <w:hyperlink r:id="rId15">
        <w:r>
          <w:rPr>
            <w:rFonts w:ascii="Arial" w:hAnsi="Arial"/>
            <w:color w:val="1D4289"/>
            <w:u w:val="single"/>
          </w:rPr>
          <w:t>Delaware Student Success - Grade 12 checklist</w:t>
        </w:r>
      </w:hyperlink>
    </w:p>
    <w:p>
      <w:pPr>
        <w:pStyle w:val="ListBullet"/>
      </w:pPr>
      <w:hyperlink r:id="rId14">
        <w:r>
          <w:rPr>
            <w:rFonts w:ascii="Arial" w:hAnsi="Arial"/>
            <w:color w:val="1D4289"/>
            <w:u w:val="single"/>
          </w:rPr>
          <w:t>Delaware Student Success - Grade 11 checklist</w:t>
        </w:r>
      </w:hyperlink>
    </w:p>
    <w:p>
      <w:pPr>
        <w:pStyle w:val="ListBullet"/>
      </w:pPr>
      <w:hyperlink r:id="rId17">
        <w:r>
          <w:rPr>
            <w:rFonts w:ascii="Arial" w:hAnsi="Arial"/>
            <w:color w:val="1D4289"/>
            <w:u w:val="single"/>
          </w:rPr>
          <w:t>Delaware Student Success - Senior Workbook</w:t>
        </w:r>
      </w:hyperlink>
    </w:p>
    <w:p>
      <w:pPr>
        <w:pStyle w:val="ListBullet"/>
      </w:pPr>
      <w:hyperlink r:id="rId18">
        <w:r>
          <w:rPr>
            <w:rFonts w:ascii="Arial" w:hAnsi="Arial"/>
            <w:color w:val="1D4289"/>
            <w:u w:val="single"/>
          </w:rPr>
          <w:t>Delaware Student Success - FAFSA guidance</w:t>
        </w:r>
      </w:hyperlink>
    </w:p>
    <w:p>
      <w:pPr>
        <w:pStyle w:val="ListBullet"/>
      </w:pPr>
      <w:hyperlink r:id="rId16">
        <w:r>
          <w:rPr>
            <w:rFonts w:ascii="Arial" w:hAnsi="Arial"/>
            <w:color w:val="1D4289"/>
            <w:u w:val="single"/>
          </w:rPr>
          <w:t>Federal Student Aid - College and career preparation checklists</w:t>
        </w:r>
      </w:hyperlink>
    </w:p>
    <w:p>
      <w:pPr>
        <w:pStyle w:val="ListBullet"/>
      </w:pPr>
      <w:hyperlink r:id="rId19">
        <w:r>
          <w:rPr>
            <w:rFonts w:ascii="Arial" w:hAnsi="Arial"/>
            <w:color w:val="1D4289"/>
            <w:u w:val="single"/>
          </w:rPr>
          <w:t>Delaware JobLink</w:t>
        </w:r>
      </w:hyperlink>
    </w:p>
    <w:p>
      <w:pPr>
        <w:pStyle w:val="ListBullet"/>
      </w:pPr>
      <w:hyperlink r:id="rId20">
        <w:r>
          <w:rPr>
            <w:rFonts w:ascii="Arial" w:hAnsi="Arial"/>
            <w:color w:val="1D4289"/>
            <w:u w:val="single"/>
          </w:rPr>
          <w:t>Delaware Department of Labor - Apprenticeship and Training</w:t>
        </w:r>
      </w:hyperlink>
    </w:p>
    <w:p>
      <w:pPr>
        <w:pStyle w:val="ListBullet"/>
      </w:pPr>
      <w:hyperlink r:id="rId21">
        <w:r>
          <w:rPr>
            <w:rFonts w:ascii="Arial" w:hAnsi="Arial"/>
            <w:color w:val="1D4289"/>
            <w:u w:val="single"/>
          </w:rPr>
          <w:t>Delaware Student Success - Military Pathway</w:t>
        </w:r>
      </w:hyperlink>
    </w:p>
    <w:p>
      <w:pPr>
        <w:pStyle w:val="ListBullet"/>
      </w:pPr>
      <w:hyperlink r:id="rId22">
        <w:r>
          <w:rPr>
            <w:rFonts w:ascii="Arial" w:hAnsi="Arial"/>
            <w:color w:val="1D4289"/>
            <w:u w:val="single"/>
          </w:rPr>
          <w:t>Delaware Disability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CURRICULUM UNIT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8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0"/>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4"/>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46"/>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5"/>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 Id="rId17" Type="http://schemas.openxmlformats.org/officeDocument/2006/relationships/hyperlink" Target="https://www.delawarestudentsuccess.org/senior-workbook/" TargetMode="External"/><Relationship Id="rId18" Type="http://schemas.openxmlformats.org/officeDocument/2006/relationships/hyperlink" Target="https://www.delawarestudentsuccess.org/fafsa/" TargetMode="External"/><Relationship Id="rId19" Type="http://schemas.openxmlformats.org/officeDocument/2006/relationships/hyperlink" Target="https://joblink.delaware.gov/" TargetMode="External"/><Relationship Id="rId20" Type="http://schemas.openxmlformats.org/officeDocument/2006/relationships/hyperlink" Target="https://labor.delaware.gov/divisions/employment-training/apprenticeship-and-training/" TargetMode="External"/><Relationship Id="rId21" Type="http://schemas.openxmlformats.org/officeDocument/2006/relationships/hyperlink" Target="https://www.delawarestudentsuccess.org/military-pathway/" TargetMode="External"/><Relationship Id="rId22" Type="http://schemas.openxmlformats.org/officeDocument/2006/relationships/hyperlink" Target="https://deldhub.gacec.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KSRfxSPDxIoMvpgkuzEyz8KB/A==">CgMxLjA4AHIhMTVQLWdUZEhGZ2JJSFJUYzdyQ2NKcnRGM0tMNkYyTWJi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Curriculum Unit</dc:title>
  <dc:subject>Launch Into Your Future postsecondary readiness, evidence, and transition handoff</dc:subject>
  <cp:keywords>Launch Into Your Future; postsecondary readiness; grade 12; Student Success Plan; Delaware</cp:keywords>
</cp:coreProperties>
</file>