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Counselor Guide</w:t>
      </w:r>
    </w:p>
    <w:p w:rsidR="00000000" w:rsidDel="00000000" w:rsidP="00000000" w:rsidRDefault="00000000" w:rsidRPr="00000000" w14:paraId="00000005">
      <w:pPr>
        <w:keepLines w:val="1"/>
        <w:pBdr>
          <w:left w:color="FF6720" w:space="8" w:sz="18" w:val="single"/>
        </w:pBdr>
        <w:shd w:fill="FFF2E8" w:val="clear"/>
        <w:spacing w:after="180" w:before="80" w:line="283" w:lineRule="auto"/>
        <w:ind w:left="173" w:right="115" w:firstLine="0"/>
        <w:rPr/>
      </w:pPr>
      <w:r>
        <w:t>KEY TAKEAWAY Campaign 49 is the evidence-and-handoff step after Campaign 48: preview it late in grade 11, use it throughout grade 12, and treat missing items as requests for support - not proof that a student is unready.</w:t>
      </w:r>
    </w:p>
    <w:p>
      <w:pPr>
        <w:pStyle w:val="Heading1"/>
      </w:pPr>
      <w:r>
        <w:t>Position in the campaign continuum</w:t>
      </w:r>
    </w:p>
    <w:tbl>
      <w:tblPr>
        <w:tblStyle w:val="TableGrid"/>
        <w:tblW w:type="dxa" w:w="9360"/>
        <w:jc w:val="left"/>
        <w:tblLayout w:type="fixed"/>
        <w:tblLook w:firstColumn="1" w:firstRow="1" w:lastColumn="0" w:lastRow="0" w:noHBand="0" w:noVBand="1" w:val="04A0"/>
        <w:tblInd w:w="0" w:type="dxa"/>
      </w:tblPr>
      <w:tblGrid>
        <w:gridCol w:w="2200"/>
        <w:gridCol w:w="3200"/>
        <w:gridCol w:w="3960"/>
      </w:tblGrid>
      <w:tr>
        <w:trPr>
          <w:tblHeader w:val="true"/>
        </w:trPr>
        <w:tc>
          <w:tcPr>
            <w:tcW w:type="dxa" w:w="22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Campaign</w:t>
            </w:r>
          </w:p>
        </w:tc>
        <w:tc>
          <w:tcPr>
            <w:tcW w:type="dxa" w:w="32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Student question</w:t>
            </w:r>
          </w:p>
        </w:tc>
        <w:tc>
          <w:tcPr>
            <w:tcW w:type="dxa" w:w="396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Counselor outcome</w:t>
            </w:r>
          </w:p>
        </w:tc>
      </w:tr>
      <w:tr>
        <w:trPr>
          <w:cantSplit w:val="true"/>
        </w:trPr>
        <w:tc>
          <w:tcPr>
            <w:tcW w:type="dxa" w:w="22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48 - Planning Timeline</w:t>
            </w:r>
          </w:p>
        </w:tc>
        <w:tc>
          <w:tcPr>
            <w:tcW w:type="dxa" w:w="32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What should I be doing at my grade level?</w:t>
            </w:r>
          </w:p>
        </w:tc>
        <w:tc>
          <w:tcPr>
            <w:tcW w:type="dxa" w:w="39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A grade-appropriate milestone, next action, helper, and follow-up date are saved in the SSP.</w:t>
            </w:r>
          </w:p>
        </w:tc>
      </w:tr>
      <w:tr>
        <w:trPr>
          <w:cantSplit w:val="true"/>
        </w:trPr>
        <w:tc>
          <w:tcPr>
            <w:tcW w:type="dxa" w:w="2200"/>
            <w:tcMar>
              <w:top w:w="80" w:type="dxa"/>
              <w:start w:w="120" w:type="dxa"/>
              <w:bottom w:w="80" w:type="dxa"/>
              <w:end w:w="120" w:type="dxa"/>
            </w:tcMar>
            <w:vAlign w:val="center"/>
          </w:tcPr>
          <w:p>
            <w:pPr>
              <w:spacing w:before="0" w:after="40" w:line="259" w:lineRule="auto"/>
            </w:pPr>
            <w:r>
              <w:rPr>
                <w:rFonts w:ascii="Arial" w:hAnsi="Arial"/>
                <w:color w:val="1F2937"/>
                <w:sz w:val="19"/>
              </w:rPr>
              <w:t>49 - Readiness Checklist</w:t>
            </w:r>
          </w:p>
        </w:tc>
        <w:tc>
          <w:tcPr>
            <w:tcW w:type="dxa" w:w="3200"/>
            <w:tcMar>
              <w:top w:w="80" w:type="dxa"/>
              <w:start w:w="120" w:type="dxa"/>
              <w:bottom w:w="80" w:type="dxa"/>
              <w:end w:w="120" w:type="dxa"/>
            </w:tcMar>
            <w:vAlign w:val="center"/>
          </w:tcPr>
          <w:p>
            <w:pPr>
              <w:spacing w:before="0" w:after="40" w:line="259" w:lineRule="auto"/>
            </w:pPr>
            <w:r>
              <w:rPr>
                <w:rFonts w:ascii="Arial" w:hAnsi="Arial"/>
                <w:color w:val="1F2937"/>
                <w:sz w:val="19"/>
              </w:rPr>
              <w:t>Do I have the evidence and support needed to start my current route?</w:t>
            </w:r>
          </w:p>
        </w:tc>
        <w:tc>
          <w:tcPr>
            <w:tcW w:type="dxa" w:w="3960"/>
            <w:tcMar>
              <w:top w:w="80" w:type="dxa"/>
              <w:start w:w="120" w:type="dxa"/>
              <w:bottom w:w="80" w:type="dxa"/>
              <w:end w:w="120" w:type="dxa"/>
            </w:tcMar>
            <w:vAlign w:val="center"/>
          </w:tcPr>
          <w:p>
            <w:pPr>
              <w:spacing w:before="0" w:after="40" w:line="259" w:lineRule="auto"/>
            </w:pPr>
            <w:r>
              <w:rPr>
                <w:rFonts w:ascii="Arial" w:hAnsi="Arial"/>
                <w:color w:val="1F2937"/>
                <w:sz w:val="19"/>
              </w:rPr>
              <w:t>Universal and route-specific statuses are documented; barriers, owners, due dates, and a transition handoff are clear.</w:t>
            </w:r>
          </w:p>
        </w:tc>
      </w:tr>
    </w:tbl>
    <w:p>
      <w:pPr>
        <w:spacing w:after="0"/>
      </w:pPr>
    </w:p>
    <w:p>
      <w:pPr>
        <w:keepLines/>
        <w:spacing w:before="120" w:after="160"/>
        <w:ind w:left="115"/>
        <w:shd w:fill="FFF2E8"/>
        <w:pBdr>
          <w:left w:val="single" w:sz="18" w:space="8" w:color="FF6720"/>
        </w:pBdr>
      </w:pPr>
      <w:r>
        <w:rPr>
          <w:b/>
          <w:color w:val="1D4289"/>
        </w:rPr>
        <w:t xml:space="preserve">CORE AUDIENCE  </w:t>
      </w:r>
      <w:r>
        <w:t>Grade 12 students. Use a short preview in late grade 11 so students understand what proof, decisions, and logistics they will need next year. This is not a new grades 9-12 checklist and it is not a one-time senior event.</w:t>
      </w:r>
    </w:p>
    <w:p>
      <w:pPr>
        <w:pStyle w:val="Heading1"/>
      </w:pPr>
      <w:r>
        <w:t>Counseling workflow</w:t>
      </w:r>
    </w:p>
    <w:p>
      <w:pPr>
        <w:pStyle w:val="ListNumber"/>
      </w:pPr>
      <w:r>
        <w:t>Start with the student's own goal. Name a current primary route and a workable backup without ranking one route above another.</w:t>
      </w:r>
    </w:p>
    <w:p>
      <w:pPr>
        <w:pStyle w:val="ListNumber"/>
      </w:pPr>
      <w:r>
        <w:t>Review the universal tracker first. For each item, record a status, evidence, owner/helper, due date, and follow-up date.</w:t>
      </w:r>
    </w:p>
    <w:p>
      <w:pPr>
        <w:pStyle w:val="ListNumber"/>
      </w:pPr>
      <w:r>
        <w:t>Open only the route-specific section that matches the student's current plan; open a second section when the student is actively comparing routes.</w:t>
      </w:r>
    </w:p>
    <w:p>
      <w:pPr>
        <w:pStyle w:val="ListNumber"/>
      </w:pPr>
      <w:r>
        <w:t>Triage blockers. Address deadlines, graduation concerns, affordability, documents, transportation/housing, technology, and support needs before lower-risk details.</w:t>
      </w:r>
    </w:p>
    <w:p>
      <w:pPr>
        <w:pStyle w:val="ListNumber"/>
      </w:pPr>
      <w:r>
        <w:t>Make a warm handoff. Name the person or office accepting the referral and document what happens next; do not give only a phone number or website.</w:t>
      </w:r>
    </w:p>
    <w:p>
      <w:pPr>
        <w:pStyle w:val="ListNumber"/>
      </w:pPr>
      <w:r>
        <w:t>Update the SSP. Attach or summarize the readiness tracker, the backup route, remaining tasks, and the first postsecondary follow-up date.</w:t>
      </w:r>
    </w:p>
    <w:p>
      <w:pPr>
        <w:pStyle w:val="Heading2"/>
      </w:pPr>
      <w:r>
        <w:t>Status reporting is non-punitive</w:t>
      </w:r>
    </w:p>
    <w:p>
      <w:r>
        <w:t>Use NS (not started), WIP (working on it), WAIT (waiting on another person/office), DONE, HELP (barrier or support needed), and N/A. Status describes a task today; it is not a score of the student's ability, motivation, worth, or likelihood of success. WAIT and HELP should trigger contact or support. DONE should have evidence. N/A should be confirmed, not assumed.</w:t>
      </w:r>
    </w:p>
    <w:p>
      <w:pPr>
        <w:pStyle w:val="Heading1"/>
      </w:pPr>
      <w:r>
        <w:t>What to review for every route</w:t>
      </w:r>
    </w:p>
    <w:tbl>
      <w:tblPr>
        <w:tblStyle w:val="TableGrid"/>
        <w:tblW w:type="dxa" w:w="9360"/>
        <w:jc w:val="left"/>
        <w:tblLayout w:type="fixed"/>
        <w:tblLook w:firstColumn="1" w:firstRow="1" w:lastColumn="0" w:lastRow="0" w:noHBand="0" w:noVBand="1" w:val="04A0"/>
        <w:tblInd w:w="0" w:type="dxa"/>
      </w:tblPr>
      <w:tblGrid>
        <w:gridCol w:w="1800"/>
        <w:gridCol w:w="4200"/>
        <w:gridCol w:w="3360"/>
      </w:tblGrid>
      <w:tr>
        <w:trPr>
          <w:tblHeader w:val="true"/>
        </w:trPr>
        <w:tc>
          <w:tcPr>
            <w:tcW w:type="dxa" w:w="18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Readiness area</w:t>
            </w:r>
          </w:p>
        </w:tc>
        <w:tc>
          <w:tcPr>
            <w:tcW w:type="dxa" w:w="42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Look for</w:t>
            </w:r>
          </w:p>
        </w:tc>
        <w:tc>
          <w:tcPr>
            <w:tcW w:type="dxa" w:w="336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Useful evidence</w:t>
            </w:r>
          </w:p>
        </w:tc>
      </w:tr>
      <w:tr>
        <w:trPr>
          <w:cantSplit w:val="true"/>
        </w:trPr>
        <w:tc>
          <w:tcPr>
            <w:tcW w:type="dxa" w:w="1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Goal and backup</w:t>
            </w:r>
          </w:p>
        </w:tc>
        <w:tc>
          <w:tcPr>
            <w:tcW w:type="dxa" w:w="42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A student-owned first choice plus a workable alternate</w:t>
            </w:r>
          </w:p>
        </w:tc>
        <w:tc>
          <w:tcPr>
            <w:tcW w:type="dxa" w:w="33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SSP entry, option comparison, reflection</w:t>
            </w:r>
          </w:p>
        </w:tc>
      </w:tr>
      <w:tr>
        <w:trPr>
          <w:cantSplit w:val="true"/>
        </w:trPr>
        <w:tc>
          <w:tcPr>
            <w:tcW w:type="dxa" w:w="1800"/>
            <w:tcMar>
              <w:top w:w="80" w:type="dxa"/>
              <w:start w:w="120" w:type="dxa"/>
              <w:bottom w:w="80" w:type="dxa"/>
              <w:end w:w="120" w:type="dxa"/>
            </w:tcMar>
            <w:vAlign w:val="center"/>
          </w:tcPr>
          <w:p>
            <w:pPr>
              <w:spacing w:before="0" w:after="40" w:line="259" w:lineRule="auto"/>
            </w:pPr>
            <w:r>
              <w:rPr>
                <w:rFonts w:ascii="Arial" w:hAnsi="Arial"/>
                <w:color w:val="1F2937"/>
                <w:sz w:val="18"/>
              </w:rPr>
              <w:t>Academic/learning</w:t>
            </w:r>
          </w:p>
        </w:tc>
        <w:tc>
          <w:tcPr>
            <w:tcW w:type="dxa" w:w="4200"/>
            <w:tcMar>
              <w:top w:w="80" w:type="dxa"/>
              <w:start w:w="120" w:type="dxa"/>
              <w:bottom w:w="80" w:type="dxa"/>
              <w:end w:w="120" w:type="dxa"/>
            </w:tcMar>
            <w:vAlign w:val="center"/>
          </w:tcPr>
          <w:p>
            <w:pPr>
              <w:spacing w:before="0" w:after="40" w:line="259" w:lineRule="auto"/>
            </w:pPr>
            <w:r>
              <w:rPr>
                <w:rFonts w:ascii="Arial" w:hAnsi="Arial"/>
                <w:color w:val="1F2937"/>
                <w:sz w:val="18"/>
              </w:rPr>
              <w:t>Graduation/course status, learning habits, and needed academic support</w:t>
            </w:r>
          </w:p>
        </w:tc>
        <w:tc>
          <w:tcPr>
            <w:tcW w:type="dxa" w:w="3360"/>
            <w:tcMar>
              <w:top w:w="80" w:type="dxa"/>
              <w:start w:w="120" w:type="dxa"/>
              <w:bottom w:w="80" w:type="dxa"/>
              <w:end w:w="120" w:type="dxa"/>
            </w:tcMar>
            <w:vAlign w:val="center"/>
          </w:tcPr>
          <w:p>
            <w:pPr>
              <w:spacing w:before="0" w:after="40" w:line="259" w:lineRule="auto"/>
            </w:pPr>
            <w:r>
              <w:rPr>
                <w:rFonts w:ascii="Arial" w:hAnsi="Arial"/>
                <w:color w:val="1F2937"/>
                <w:sz w:val="18"/>
              </w:rPr>
              <w:t>Transcript review note, progress plan, support referral</w:t>
            </w:r>
          </w:p>
        </w:tc>
      </w:tr>
      <w:tr>
        <w:trPr>
          <w:cantSplit w:val="true"/>
        </w:trPr>
        <w:tc>
          <w:tcPr>
            <w:tcW w:type="dxa" w:w="1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Career/pathway</w:t>
            </w:r>
          </w:p>
        </w:tc>
        <w:tc>
          <w:tcPr>
            <w:tcW w:type="dxa" w:w="42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Experience or evidence that helps the student explain fit</w:t>
            </w:r>
          </w:p>
        </w:tc>
        <w:tc>
          <w:tcPr>
            <w:tcW w:type="dxa" w:w="33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Resume, credential, work sample, reflection, supervisor feedback</w:t>
            </w:r>
          </w:p>
        </w:tc>
      </w:tr>
      <w:tr>
        <w:trPr>
          <w:cantSplit w:val="true"/>
        </w:trPr>
        <w:tc>
          <w:tcPr>
            <w:tcW w:type="dxa" w:w="1800"/>
            <w:tcMar>
              <w:top w:w="80" w:type="dxa"/>
              <w:start w:w="120" w:type="dxa"/>
              <w:bottom w:w="80" w:type="dxa"/>
              <w:end w:w="120" w:type="dxa"/>
            </w:tcMar>
            <w:vAlign w:val="center"/>
          </w:tcPr>
          <w:p>
            <w:pPr>
              <w:spacing w:before="0" w:after="40" w:line="259" w:lineRule="auto"/>
            </w:pPr>
            <w:r>
              <w:rPr>
                <w:rFonts w:ascii="Arial" w:hAnsi="Arial"/>
                <w:color w:val="1F2937"/>
                <w:sz w:val="18"/>
              </w:rPr>
              <w:t>Requirements/actions</w:t>
            </w:r>
          </w:p>
        </w:tc>
        <w:tc>
          <w:tcPr>
            <w:tcW w:type="dxa" w:w="4200"/>
            <w:tcMar>
              <w:top w:w="80" w:type="dxa"/>
              <w:start w:w="120" w:type="dxa"/>
              <w:bottom w:w="80" w:type="dxa"/>
              <w:end w:w="120" w:type="dxa"/>
            </w:tcMar>
            <w:vAlign w:val="center"/>
          </w:tcPr>
          <w:p>
            <w:pPr>
              <w:spacing w:before="0" w:after="40" w:line="259" w:lineRule="auto"/>
            </w:pPr>
            <w:r>
              <w:rPr>
                <w:rFonts w:ascii="Arial" w:hAnsi="Arial"/>
                <w:color w:val="1F2937"/>
                <w:sz w:val="18"/>
              </w:rPr>
              <w:t>Current entry rules, deadlines, completed steps, and confirmations</w:t>
            </w:r>
          </w:p>
        </w:tc>
        <w:tc>
          <w:tcPr>
            <w:tcW w:type="dxa" w:w="3360"/>
            <w:tcMar>
              <w:top w:w="80" w:type="dxa"/>
              <w:start w:w="120" w:type="dxa"/>
              <w:bottom w:w="80" w:type="dxa"/>
              <w:end w:w="120" w:type="dxa"/>
            </w:tcMar>
            <w:vAlign w:val="center"/>
          </w:tcPr>
          <w:p>
            <w:pPr>
              <w:spacing w:before="0" w:after="40" w:line="259" w:lineRule="auto"/>
            </w:pPr>
            <w:r>
              <w:rPr>
                <w:rFonts w:ascii="Arial" w:hAnsi="Arial"/>
                <w:color w:val="1F2937"/>
                <w:sz w:val="18"/>
              </w:rPr>
              <w:t>Official message, portal status, application or registration confirmation</w:t>
            </w:r>
          </w:p>
        </w:tc>
      </w:tr>
      <w:tr>
        <w:trPr>
          <w:cantSplit w:val="true"/>
        </w:trPr>
        <w:tc>
          <w:tcPr>
            <w:tcW w:type="dxa" w:w="1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Financial</w:t>
            </w:r>
          </w:p>
        </w:tc>
        <w:tc>
          <w:tcPr>
            <w:tcW w:type="dxa" w:w="42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Expected cost/earnings, aid or benefits, family contribution, and safe decision support</w:t>
            </w:r>
          </w:p>
        </w:tc>
        <w:tc>
          <w:tcPr>
            <w:tcW w:type="dxa" w:w="33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Cost comparison, aid notice, budget, questions for qualified staff</w:t>
            </w:r>
          </w:p>
        </w:tc>
      </w:tr>
      <w:tr>
        <w:trPr>
          <w:cantSplit w:val="true"/>
        </w:trPr>
        <w:tc>
          <w:tcPr>
            <w:tcW w:type="dxa" w:w="1800"/>
            <w:tcMar>
              <w:top w:w="80" w:type="dxa"/>
              <w:start w:w="120" w:type="dxa"/>
              <w:bottom w:w="80" w:type="dxa"/>
              <w:end w:w="120" w:type="dxa"/>
            </w:tcMar>
            <w:vAlign w:val="center"/>
          </w:tcPr>
          <w:p>
            <w:pPr>
              <w:spacing w:before="0" w:after="40" w:line="259" w:lineRule="auto"/>
            </w:pPr>
            <w:r>
              <w:rPr>
                <w:rFonts w:ascii="Arial" w:hAnsi="Arial"/>
                <w:color w:val="1F2937"/>
                <w:sz w:val="18"/>
              </w:rPr>
              <w:t>Records/access</w:t>
            </w:r>
          </w:p>
        </w:tc>
        <w:tc>
          <w:tcPr>
            <w:tcW w:type="dxa" w:w="4200"/>
            <w:tcMar>
              <w:top w:w="80" w:type="dxa"/>
              <w:start w:w="120" w:type="dxa"/>
              <w:bottom w:w="80" w:type="dxa"/>
              <w:end w:w="120" w:type="dxa"/>
            </w:tcMar>
            <w:vAlign w:val="center"/>
          </w:tcPr>
          <w:p>
            <w:pPr>
              <w:spacing w:before="0" w:after="40" w:line="259" w:lineRule="auto"/>
            </w:pPr>
            <w:r>
              <w:rPr>
                <w:rFonts w:ascii="Arial" w:hAnsi="Arial"/>
                <w:color w:val="1F2937"/>
                <w:sz w:val="18"/>
              </w:rPr>
              <w:t>Required documents, secure storage, and working account access</w:t>
            </w:r>
          </w:p>
        </w:tc>
        <w:tc>
          <w:tcPr>
            <w:tcW w:type="dxa" w:w="3360"/>
            <w:tcMar>
              <w:top w:w="80" w:type="dxa"/>
              <w:start w:w="120" w:type="dxa"/>
              <w:bottom w:w="80" w:type="dxa"/>
              <w:end w:w="120" w:type="dxa"/>
            </w:tcMar>
            <w:vAlign w:val="center"/>
          </w:tcPr>
          <w:p>
            <w:pPr>
              <w:spacing w:before="0" w:after="40" w:line="259" w:lineRule="auto"/>
            </w:pPr>
            <w:r>
              <w:rPr>
                <w:rFonts w:ascii="Arial" w:hAnsi="Arial"/>
                <w:color w:val="1F2937"/>
                <w:sz w:val="18"/>
              </w:rPr>
              <w:t>Document checklist, secure file location, portal status - never a shared password</w:t>
            </w:r>
          </w:p>
        </w:tc>
      </w:tr>
      <w:tr>
        <w:trPr>
          <w:cantSplit w:val="true"/>
        </w:trPr>
        <w:tc>
          <w:tcPr>
            <w:tcW w:type="dxa" w:w="1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Logistics</w:t>
            </w:r>
          </w:p>
        </w:tc>
        <w:tc>
          <w:tcPr>
            <w:tcW w:type="dxa" w:w="42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Transportation, housing if needed, schedule, technology, tools/clothing, health needs</w:t>
            </w:r>
          </w:p>
        </w:tc>
        <w:tc>
          <w:tcPr>
            <w:tcW w:type="dxa" w:w="33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Dated plan, budget, reservation, contact note</w:t>
            </w:r>
          </w:p>
        </w:tc>
      </w:tr>
      <w:tr>
        <w:trPr>
          <w:cantSplit w:val="true"/>
        </w:trPr>
        <w:tc>
          <w:tcPr>
            <w:tcW w:type="dxa" w:w="1800"/>
            <w:tcMar>
              <w:top w:w="80" w:type="dxa"/>
              <w:start w:w="120" w:type="dxa"/>
              <w:bottom w:w="80" w:type="dxa"/>
              <w:end w:w="120" w:type="dxa"/>
            </w:tcMar>
            <w:vAlign w:val="center"/>
          </w:tcPr>
          <w:p>
            <w:pPr>
              <w:spacing w:before="0" w:after="40" w:line="259" w:lineRule="auto"/>
            </w:pPr>
            <w:r>
              <w:rPr>
                <w:rFonts w:ascii="Arial" w:hAnsi="Arial"/>
                <w:color w:val="1F2937"/>
                <w:sz w:val="18"/>
              </w:rPr>
              <w:t>Support/self-advocacy</w:t>
            </w:r>
          </w:p>
        </w:tc>
        <w:tc>
          <w:tcPr>
            <w:tcW w:type="dxa" w:w="4200"/>
            <w:tcMar>
              <w:top w:w="80" w:type="dxa"/>
              <w:start w:w="120" w:type="dxa"/>
              <w:bottom w:w="80" w:type="dxa"/>
              <w:end w:w="120" w:type="dxa"/>
            </w:tcMar>
            <w:vAlign w:val="center"/>
          </w:tcPr>
          <w:p>
            <w:pPr>
              <w:spacing w:before="0" w:after="40" w:line="259" w:lineRule="auto"/>
            </w:pPr>
            <w:r>
              <w:rPr>
                <w:rFonts w:ascii="Arial" w:hAnsi="Arial"/>
                <w:color w:val="1F2937"/>
                <w:sz w:val="18"/>
              </w:rPr>
              <w:t>A named contact, clear questions, and an informed plan for requesting help</w:t>
            </w:r>
          </w:p>
        </w:tc>
        <w:tc>
          <w:tcPr>
            <w:tcW w:type="dxa" w:w="3360"/>
            <w:tcMar>
              <w:top w:w="80" w:type="dxa"/>
              <w:start w:w="120" w:type="dxa"/>
              <w:bottom w:w="80" w:type="dxa"/>
              <w:end w:w="120" w:type="dxa"/>
            </w:tcMar>
            <w:vAlign w:val="center"/>
          </w:tcPr>
          <w:p>
            <w:pPr>
              <w:spacing w:before="0" w:after="40" w:line="259" w:lineRule="auto"/>
            </w:pPr>
            <w:r>
              <w:rPr>
                <w:rFonts w:ascii="Arial" w:hAnsi="Arial"/>
                <w:color w:val="1F2937"/>
                <w:sz w:val="18"/>
              </w:rPr>
              <w:t>Meeting note, referral acceptance, drafted question, appointment</w:t>
            </w:r>
          </w:p>
        </w:tc>
      </w:tr>
      <w:tr>
        <w:trPr>
          <w:cantSplit w:val="true"/>
        </w:trPr>
        <w:tc>
          <w:tcPr>
            <w:tcW w:type="dxa" w:w="1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Transition/backup</w:t>
            </w:r>
          </w:p>
        </w:tc>
        <w:tc>
          <w:tcPr>
            <w:tcW w:type="dxa" w:w="42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Onboarding steps, next contact, follow-up date, and recovery plan</w:t>
            </w:r>
          </w:p>
        </w:tc>
        <w:tc>
          <w:tcPr>
            <w:tcW w:type="dxa" w:w="33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Handoff page, calendar, backup action</w:t>
            </w:r>
          </w:p>
        </w:tc>
      </w:tr>
    </w:tbl>
    <w:p>
      <w:pPr>
        <w:spacing w:after="0"/>
      </w:pPr>
    </w:p>
    <w:p>
      <w:r>
        <w:br w:type="page"/>
      </w:r>
    </w:p>
    <w:p>
      <w:pPr>
        <w:pStyle w:val="Heading1"/>
      </w:pPr>
      <w:r>
        <w:t>Route-specific prompts</w:t>
      </w:r>
    </w:p>
    <w:tbl>
      <w:tblPr>
        <w:tblStyle w:val="TableGrid"/>
        <w:tblW w:type="dxa" w:w="9360"/>
        <w:jc w:val="left"/>
        <w:tblLayout w:type="fixed"/>
        <w:tblLook w:firstColumn="1" w:firstRow="1" w:lastColumn="0" w:lastRow="0" w:noHBand="0" w:noVBand="1" w:val="04A0"/>
        <w:tblInd w:w="0" w:type="dxa"/>
      </w:tblPr>
      <w:tblGrid>
        <w:gridCol w:w="2500"/>
        <w:gridCol w:w="6860"/>
      </w:tblGrid>
      <w:tr>
        <w:trPr>
          <w:tblHeader w:val="true"/>
        </w:trPr>
        <w:tc>
          <w:tcPr>
            <w:tcW w:type="dxa" w:w="25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Route</w:t>
            </w:r>
          </w:p>
        </w:tc>
        <w:tc>
          <w:tcPr>
            <w:tcW w:type="dxa" w:w="686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Confirm only what applies</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College</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Admission decision; net cost; aid; final transcript; deposit/orientation/registration; housing/transport; supports</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8"/>
              </w:rPr>
              <w:t>Technical/trade training</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8"/>
              </w:rPr>
              <w:t>Provider and credential; prerequisites; total cost; refund terms; schedule; tools; job or licensure connection</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Registered Apprenticeship</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Sponsor and occupation; selection steps; requirements; wage/hours/training; transportation/tools; start status</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8"/>
              </w:rPr>
              <w:t>Military</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8"/>
              </w:rPr>
              <w:t>Branch/role; official requirements; testing/medical process; written terms/commitment; departure logistics; trusted review</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Direct-to-work</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Target job and job quality; application package; requirements; written offer; schedule/transport; onboarding and growth</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8"/>
              </w:rPr>
              <w:t>Adult education</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8"/>
              </w:rPr>
              <w:t>Goal/program fit; enrollment/placement; schedule and life supports; cost/records; next transition</w:t>
            </w:r>
          </w:p>
        </w:tc>
      </w:tr>
      <w:tr>
        <w:trPr>
          <w:cantSplit w:val="true"/>
        </w:trPr>
        <w:tc>
          <w:tcPr>
            <w:tcW w:type="dxa" w:w="25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Entrepreneurship</w:t>
            </w:r>
          </w:p>
        </w:tc>
        <w:tc>
          <w:tcPr>
            <w:tcW w:type="dxa" w:w="686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Customer/need; small test; costs/pricing; legal/tax/insurance questions for qualified sources; mentor and milestone</w:t>
            </w:r>
          </w:p>
        </w:tc>
      </w:tr>
      <w:tr>
        <w:trPr>
          <w:cantSplit w:val="true"/>
        </w:trPr>
        <w:tc>
          <w:tcPr>
            <w:tcW w:type="dxa" w:w="2500"/>
            <w:tcMar>
              <w:top w:w="80" w:type="dxa"/>
              <w:start w:w="120" w:type="dxa"/>
              <w:bottom w:w="80" w:type="dxa"/>
              <w:end w:w="120" w:type="dxa"/>
            </w:tcMar>
            <w:vAlign w:val="center"/>
          </w:tcPr>
          <w:p>
            <w:pPr>
              <w:spacing w:before="0" w:after="40" w:line="259" w:lineRule="auto"/>
            </w:pPr>
            <w:r>
              <w:rPr>
                <w:rFonts w:ascii="Arial" w:hAnsi="Arial"/>
                <w:color w:val="1F2937"/>
                <w:sz w:val="18"/>
              </w:rPr>
              <w:t>Still deciding/comparing</w:t>
            </w:r>
          </w:p>
        </w:tc>
        <w:tc>
          <w:tcPr>
            <w:tcW w:type="dxa" w:w="6860"/>
            <w:tcMar>
              <w:top w:w="80" w:type="dxa"/>
              <w:start w:w="120" w:type="dxa"/>
              <w:bottom w:w="80" w:type="dxa"/>
              <w:end w:w="120" w:type="dxa"/>
            </w:tcMar>
            <w:vAlign w:val="center"/>
          </w:tcPr>
          <w:p>
            <w:pPr>
              <w:spacing w:before="0" w:after="40" w:line="259" w:lineRule="auto"/>
            </w:pPr>
            <w:r>
              <w:rPr>
                <w:rFonts w:ascii="Arial" w:hAnsi="Arial"/>
                <w:color w:val="1F2937"/>
                <w:sz w:val="18"/>
              </w:rPr>
              <w:t>Two or three options; biggest unknowns; one real-world information step; decision support; check-in date and bridge action</w:t>
            </w:r>
          </w:p>
        </w:tc>
      </w:tr>
    </w:tbl>
    <w:p>
      <w:pPr>
        <w:spacing w:after="0"/>
      </w:pPr>
    </w:p>
    <w:p>
      <w:r>
        <w:br w:type="page"/>
      </w:r>
    </w:p>
    <w:p>
      <w:pPr>
        <w:pStyle w:val="Heading1"/>
      </w:pPr>
      <w:r>
        <w:t>Completed example: Jordan's readiness check</w:t>
      </w:r>
    </w:p>
    <w:p>
      <w:r>
        <w:t>Fictional example. Jordan is a grade 12 student. Primary route: Registered Apprenticeship in electrical work. Backup route: a community-college industrial systems program. Jordan has applied to a sponsor but has not received an interview date.</w:t>
      </w:r>
    </w:p>
    <w:tbl>
      <w:tblPr>
        <w:tblStyle w:val="TableGrid"/>
        <w:tblW w:type="dxa" w:w="9360"/>
        <w:jc w:val="left"/>
        <w:tblLayout w:type="fixed"/>
        <w:tblLook w:firstColumn="1" w:firstRow="1" w:lastColumn="0" w:lastRow="0" w:noHBand="0" w:noVBand="1" w:val="04A0"/>
        <w:tblInd w:w="0" w:type="dxa"/>
      </w:tblPr>
      <w:tblGrid>
        <w:gridCol w:w="4100"/>
        <w:gridCol w:w="2550"/>
        <w:gridCol w:w="2710"/>
      </w:tblGrid>
      <w:tr>
        <w:trPr>
          <w:tblHeader w:val="true"/>
        </w:trPr>
        <w:tc>
          <w:tcPr>
            <w:tcW w:type="dxa" w:w="41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Readiness check</w:t>
            </w:r>
          </w:p>
        </w:tc>
        <w:tc>
          <w:tcPr>
            <w:tcW w:type="dxa" w:w="255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Status / evidence</w:t>
            </w:r>
          </w:p>
        </w:tc>
        <w:tc>
          <w:tcPr>
            <w:tcW w:type="dxa" w:w="271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Owner / due / follow-up</w:t>
            </w:r>
          </w:p>
        </w:tc>
      </w:tr>
      <w:tr>
        <w:trPr>
          <w:cantSplit w:val="true"/>
        </w:trPr>
        <w:tc>
          <w:tcPr>
            <w:tcW w:type="dxa" w:w="41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Primary route and backup</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DONE - SSP comparison saved</w:t>
            </w:r>
          </w:p>
        </w:tc>
        <w:tc>
          <w:tcPr>
            <w:tcW w:type="dxa" w:w="27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Jordan / completed Sept. 12 / review Nov. 1</w:t>
            </w:r>
          </w:p>
        </w:tc>
      </w:tr>
      <w:tr>
        <w:trPr>
          <w:cantSplit w:val="true"/>
        </w:trPr>
        <w:tc>
          <w:tcPr>
            <w:tcW w:type="dxa" w:w="4100"/>
            <w:tcMar>
              <w:top w:w="80" w:type="dxa"/>
              <w:start w:w="120" w:type="dxa"/>
              <w:bottom w:w="80" w:type="dxa"/>
              <w:end w:w="120" w:type="dxa"/>
            </w:tcMar>
            <w:vAlign w:val="center"/>
          </w:tcPr>
          <w:p>
            <w:pPr>
              <w:spacing w:before="0" w:after="40" w:line="259" w:lineRule="auto"/>
            </w:pPr>
            <w:r>
              <w:rPr>
                <w:rFonts w:ascii="Arial" w:hAnsi="Arial"/>
                <w:color w:val="1F2937"/>
                <w:sz w:val="18"/>
              </w:rPr>
              <w:t>Sponsor application</w:t>
            </w:r>
          </w:p>
        </w:tc>
        <w:tc>
          <w:tcPr>
            <w:tcW w:type="dxa" w:w="2550"/>
            <w:tcMar>
              <w:top w:w="80" w:type="dxa"/>
              <w:start w:w="120" w:type="dxa"/>
              <w:bottom w:w="80" w:type="dxa"/>
              <w:end w:w="120" w:type="dxa"/>
            </w:tcMar>
            <w:vAlign w:val="center"/>
          </w:tcPr>
          <w:p>
            <w:pPr>
              <w:spacing w:before="0" w:after="40" w:line="259" w:lineRule="auto"/>
            </w:pPr>
            <w:r>
              <w:rPr>
                <w:rFonts w:ascii="Arial" w:hAnsi="Arial"/>
                <w:color w:val="1F2937"/>
                <w:sz w:val="18"/>
              </w:rPr>
              <w:t>WAIT - confirmation email saved</w:t>
            </w:r>
          </w:p>
        </w:tc>
        <w:tc>
          <w:tcPr>
            <w:tcW w:type="dxa" w:w="2710"/>
            <w:tcMar>
              <w:top w:w="80" w:type="dxa"/>
              <w:start w:w="120" w:type="dxa"/>
              <w:bottom w:w="80" w:type="dxa"/>
              <w:end w:w="120" w:type="dxa"/>
            </w:tcMar>
            <w:vAlign w:val="center"/>
          </w:tcPr>
          <w:p>
            <w:pPr>
              <w:spacing w:before="0" w:after="40" w:line="259" w:lineRule="auto"/>
            </w:pPr>
            <w:r>
              <w:rPr>
                <w:rFonts w:ascii="Arial" w:hAnsi="Arial"/>
                <w:color w:val="1F2937"/>
                <w:sz w:val="18"/>
              </w:rPr>
              <w:t>Sponsor contact / follow up Oct. 15</w:t>
            </w:r>
          </w:p>
        </w:tc>
      </w:tr>
      <w:tr>
        <w:trPr>
          <w:cantSplit w:val="true"/>
        </w:trPr>
        <w:tc>
          <w:tcPr>
            <w:tcW w:type="dxa" w:w="41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Transportation to work/training</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HELP - no reliable evening ride</w:t>
            </w:r>
          </w:p>
        </w:tc>
        <w:tc>
          <w:tcPr>
            <w:tcW w:type="dxa" w:w="27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Jordan + family + counselor / options by Oct. 20 / check Oct. 23</w:t>
            </w:r>
          </w:p>
        </w:tc>
      </w:tr>
      <w:tr>
        <w:trPr>
          <w:cantSplit w:val="true"/>
        </w:trPr>
        <w:tc>
          <w:tcPr>
            <w:tcW w:type="dxa" w:w="4100"/>
            <w:tcMar>
              <w:top w:w="80" w:type="dxa"/>
              <w:start w:w="120" w:type="dxa"/>
              <w:bottom w:w="80" w:type="dxa"/>
              <w:end w:w="120" w:type="dxa"/>
            </w:tcMar>
            <w:vAlign w:val="center"/>
          </w:tcPr>
          <w:p>
            <w:pPr>
              <w:spacing w:before="0" w:after="40" w:line="259" w:lineRule="auto"/>
            </w:pPr>
            <w:r>
              <w:rPr>
                <w:rFonts w:ascii="Arial" w:hAnsi="Arial"/>
                <w:color w:val="1F2937"/>
                <w:sz w:val="18"/>
              </w:rPr>
              <w:t>Tools and start-up costs</w:t>
            </w:r>
          </w:p>
        </w:tc>
        <w:tc>
          <w:tcPr>
            <w:tcW w:type="dxa" w:w="2550"/>
            <w:tcMar>
              <w:top w:w="80" w:type="dxa"/>
              <w:start w:w="120" w:type="dxa"/>
              <w:bottom w:w="80" w:type="dxa"/>
              <w:end w:w="120" w:type="dxa"/>
            </w:tcMar>
            <w:vAlign w:val="center"/>
          </w:tcPr>
          <w:p>
            <w:pPr>
              <w:spacing w:before="0" w:after="40" w:line="259" w:lineRule="auto"/>
            </w:pPr>
            <w:r>
              <w:rPr>
                <w:rFonts w:ascii="Arial" w:hAnsi="Arial"/>
                <w:color w:val="1F2937"/>
                <w:sz w:val="18"/>
              </w:rPr>
              <w:t>WIP - sponsor tool list requested</w:t>
            </w:r>
          </w:p>
        </w:tc>
        <w:tc>
          <w:tcPr>
            <w:tcW w:type="dxa" w:w="2710"/>
            <w:tcMar>
              <w:top w:w="80" w:type="dxa"/>
              <w:start w:w="120" w:type="dxa"/>
              <w:bottom w:w="80" w:type="dxa"/>
              <w:end w:w="120" w:type="dxa"/>
            </w:tcMar>
            <w:vAlign w:val="center"/>
          </w:tcPr>
          <w:p>
            <w:pPr>
              <w:spacing w:before="0" w:after="40" w:line="259" w:lineRule="auto"/>
            </w:pPr>
            <w:r>
              <w:rPr>
                <w:rFonts w:ascii="Arial" w:hAnsi="Arial"/>
                <w:color w:val="1F2937"/>
                <w:sz w:val="18"/>
              </w:rPr>
              <w:t>Sponsor contact / due after interview / check Nov. 1</w:t>
            </w:r>
          </w:p>
        </w:tc>
      </w:tr>
      <w:tr>
        <w:trPr>
          <w:cantSplit w:val="true"/>
        </w:trPr>
        <w:tc>
          <w:tcPr>
            <w:tcW w:type="dxa" w:w="41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Backup program</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WIP - program requirements verified; application not submitted</w:t>
            </w:r>
          </w:p>
        </w:tc>
        <w:tc>
          <w:tcPr>
            <w:tcW w:type="dxa" w:w="27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Jordan / submit Nov. 10 / check Nov. 14</w:t>
            </w:r>
          </w:p>
        </w:tc>
      </w:tr>
    </w:tbl>
    <w:p>
      <w:pPr>
        <w:spacing w:after="0"/>
      </w:pPr>
    </w:p>
    <w:p>
      <w:pPr>
        <w:keepLines/>
        <w:spacing w:before="120" w:after="160"/>
        <w:ind w:left="115"/>
        <w:shd w:fill="FFF2E8"/>
        <w:pBdr>
          <w:left w:val="single" w:sz="18" w:space="8" w:color="FF6720"/>
        </w:pBdr>
      </w:pPr>
      <w:r>
        <w:rPr>
          <w:b/>
          <w:color w:val="1D4289"/>
        </w:rPr>
        <w:t xml:space="preserve">COUNSELOR RESPONSE  </w:t>
      </w:r>
      <w:r>
        <w:t>Do not change WAIT or HELP to 'not ready.' Confirm that the sponsor received the application, help Jordan draft a follow-up question, connect the transportation barrier to a named support person, and keep the backup route active. Record both check-in dates in the SSP.</w:t>
      </w:r>
    </w:p>
    <w:p>
      <w:pPr>
        <w:pStyle w:val="Heading1"/>
      </w:pPr>
      <w:r>
        <w:t>Close the loop</w:t>
      </w:r>
    </w:p>
    <w:p>
      <w:pPr>
        <w:pStyle w:val="ListBullet"/>
      </w:pPr>
      <w:r>
        <w:t>Evidence: Where is completion proof saved?</w:t>
      </w:r>
    </w:p>
    <w:p>
      <w:pPr>
        <w:pStyle w:val="ListBullet"/>
      </w:pPr>
      <w:r>
        <w:t>Owner: Who is doing the next action, and which office has decision authority?</w:t>
      </w:r>
    </w:p>
    <w:p>
      <w:pPr>
        <w:pStyle w:val="ListBullet"/>
      </w:pPr>
      <w:r>
        <w:t>Due date: When must the action occur?</w:t>
      </w:r>
    </w:p>
    <w:p>
      <w:pPr>
        <w:pStyle w:val="ListBullet"/>
      </w:pPr>
      <w:r>
        <w:t>Follow-up: When will the student or staff member check again if there is no response?</w:t>
      </w:r>
    </w:p>
    <w:p>
      <w:pPr>
        <w:pStyle w:val="ListBullet"/>
      </w:pPr>
      <w:r>
        <w:t>Handoff: Who will support the student after graduation or during the first transition period?</w:t>
      </w:r>
    </w:p>
    <w:p>
      <w:pPr>
        <w:pStyle w:val="Heading1"/>
      </w:pPr>
      <w:r>
        <w:t>Equity, privacy, and judgment guardrails</w:t>
      </w:r>
    </w:p>
    <w:p>
      <w:pPr>
        <w:pStyle w:val="ListBullet"/>
      </w:pPr>
      <w:r>
        <w:t>Present every route with equal dignity and use the student's goals, not adult assumptions, to choose the relevant route section.</w:t>
      </w:r>
    </w:p>
    <w:p>
      <w:pPr>
        <w:pStyle w:val="ListBullet"/>
      </w:pPr>
      <w:r>
        <w:t>Do not penalize a student for family income, transportation, disability, housing, immigration circumstances, caregiving, work schedule, or delayed responses from another organization.</w:t>
      </w:r>
    </w:p>
    <w:p>
      <w:pPr>
        <w:pStyle w:val="ListBullet"/>
      </w:pPr>
      <w:r>
        <w:t>Keep private documents in approved secure systems. In shared trackers or class submissions, record only the status and safe evidence label - not account numbers, IDs, diagnoses, or records.</w:t>
      </w:r>
    </w:p>
    <w:p>
      <w:pPr>
        <w:pStyle w:val="ListBullet"/>
      </w:pPr>
      <w:r>
        <w:t>Refer legal, immigration, disability/accommodation, financial, military-contract, and other high-stakes questions to qualified staff or the responsible office.</w:t>
      </w:r>
    </w:p>
    <w:p>
      <w:pPr>
        <w:pStyle w:val="ListBullet"/>
      </w:pPr>
      <w:r>
        <w:t>Do not promise admission, eligibility, funding, hiring, placement, licensure, enlistment, accommodations, or an outcome.</w:t>
      </w: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pPr>
        <w:keepLines/>
        <w:spacing w:before="120" w:after="160"/>
        <w:ind w:left="115"/>
        <w:shd w:fill="F4F6F9"/>
        <w:pBdr>
          <w:left w:val="single" w:sz="18" w:space="8" w:color="FF6720"/>
        </w:pBdr>
      </w:pPr>
      <w:r>
        <w:rPr>
          <w:b/>
          <w:color w:val="1D4289"/>
        </w:rPr>
        <w:t xml:space="preserve">TRY LAUNCH AI  </w:t>
      </w:r>
      <w:r>
        <w:t>Start with one checklist item. Try: 'Explain net cost in plain language and give me three questions to ask the financial-aid office.' 'Turn this WAIT item into three small steps and draft a polite follow-up question.' 'Help me compare two transportation plans.' Use the answer to prepare, then check dates and requirements with the official source.</w:t>
      </w: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p>
      <w:pPr>
        <w:pStyle w:val="ListBullet"/>
      </w:pPr>
      <w:hyperlink r:id="rId15">
        <w:r>
          <w:rPr>
            <w:rFonts w:ascii="Arial" w:hAnsi="Arial"/>
            <w:color w:val="1D4289"/>
            <w:u w:val="single"/>
          </w:rPr>
          <w:t>Delaware Student Success - Grade 12 checklist</w:t>
        </w:r>
      </w:hyperlink>
    </w:p>
    <w:p>
      <w:pPr>
        <w:pStyle w:val="ListBullet"/>
      </w:pPr>
      <w:hyperlink r:id="rId14">
        <w:r>
          <w:rPr>
            <w:rFonts w:ascii="Arial" w:hAnsi="Arial"/>
            <w:color w:val="1D4289"/>
            <w:u w:val="single"/>
          </w:rPr>
          <w:t>Delaware Student Success - Grade 11 checklist</w:t>
        </w:r>
      </w:hyperlink>
    </w:p>
    <w:p>
      <w:pPr>
        <w:pStyle w:val="ListBullet"/>
      </w:pPr>
      <w:hyperlink r:id="rId17">
        <w:r>
          <w:rPr>
            <w:rFonts w:ascii="Arial" w:hAnsi="Arial"/>
            <w:color w:val="1D4289"/>
            <w:u w:val="single"/>
          </w:rPr>
          <w:t>Delaware Student Success - Senior Workbook</w:t>
        </w:r>
      </w:hyperlink>
    </w:p>
    <w:p>
      <w:pPr>
        <w:pStyle w:val="ListBullet"/>
      </w:pPr>
      <w:hyperlink r:id="rId18">
        <w:r>
          <w:rPr>
            <w:rFonts w:ascii="Arial" w:hAnsi="Arial"/>
            <w:color w:val="1D4289"/>
            <w:u w:val="single"/>
          </w:rPr>
          <w:t>Delaware Student Success - FAFSA guidance</w:t>
        </w:r>
      </w:hyperlink>
    </w:p>
    <w:p>
      <w:pPr>
        <w:pStyle w:val="ListBullet"/>
      </w:pPr>
      <w:hyperlink r:id="rId16">
        <w:r>
          <w:rPr>
            <w:rFonts w:ascii="Arial" w:hAnsi="Arial"/>
            <w:color w:val="1D4289"/>
            <w:u w:val="single"/>
          </w:rPr>
          <w:t>Federal Student Aid - College and career preparation checklists</w:t>
        </w:r>
      </w:hyperlink>
    </w:p>
    <w:p>
      <w:pPr>
        <w:pStyle w:val="ListBullet"/>
      </w:pPr>
      <w:hyperlink r:id="rId19">
        <w:r>
          <w:rPr>
            <w:rFonts w:ascii="Arial" w:hAnsi="Arial"/>
            <w:color w:val="1D4289"/>
            <w:u w:val="single"/>
          </w:rPr>
          <w:t>Delaware JobLink</w:t>
        </w:r>
      </w:hyperlink>
    </w:p>
    <w:p>
      <w:pPr>
        <w:pStyle w:val="ListBullet"/>
      </w:pPr>
      <w:hyperlink r:id="rId20">
        <w:r>
          <w:rPr>
            <w:rFonts w:ascii="Arial" w:hAnsi="Arial"/>
            <w:color w:val="1D4289"/>
            <w:u w:val="single"/>
          </w:rPr>
          <w:t>Delaware Department of Labor - Apprenticeship and Training</w:t>
        </w:r>
      </w:hyperlink>
    </w:p>
    <w:p>
      <w:pPr>
        <w:pStyle w:val="ListBullet"/>
      </w:pPr>
      <w:hyperlink r:id="rId21">
        <w:r>
          <w:rPr>
            <w:rFonts w:ascii="Arial" w:hAnsi="Arial"/>
            <w:color w:val="1D4289"/>
            <w:u w:val="single"/>
          </w:rPr>
          <w:t>Delaware Student Success - Military Pathway</w:t>
        </w:r>
      </w:hyperlink>
    </w:p>
    <w:p>
      <w:pPr>
        <w:pStyle w:val="ListBullet"/>
      </w:pPr>
      <w:hyperlink r:id="rId22">
        <w:r>
          <w:rPr>
            <w:rFonts w:ascii="Arial" w:hAnsi="Arial"/>
            <w:color w:val="1D4289"/>
            <w:u w:val="single"/>
          </w:rPr>
          <w:t>Delaware Disability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COUNSELOR GUIDE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2"/>
        <w:szCs w:val="22"/>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2"/>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6"/>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50"/>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60" w:before="0" w:line="264" w:lineRule="auto"/>
    </w:pPr>
    <w:rPr>
      <w:rFonts w:ascii="Arial" w:eastAsia="Arial" w:hAnsi="Arial"/>
      <w:b w:val="0"/>
      <w:color w:val="667085"/>
      <w:sz w:val="18"/>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7"/>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 Id="rId17" Type="http://schemas.openxmlformats.org/officeDocument/2006/relationships/hyperlink" Target="https://www.delawarestudentsuccess.org/senior-workbook/" TargetMode="External"/><Relationship Id="rId18" Type="http://schemas.openxmlformats.org/officeDocument/2006/relationships/hyperlink" Target="https://www.delawarestudentsuccess.org/fafsa/" TargetMode="External"/><Relationship Id="rId19" Type="http://schemas.openxmlformats.org/officeDocument/2006/relationships/hyperlink" Target="https://joblink.delaware.gov/" TargetMode="External"/><Relationship Id="rId20" Type="http://schemas.openxmlformats.org/officeDocument/2006/relationships/hyperlink" Target="https://labor.delaware.gov/divisions/employment-training/apprenticeship-and-training/" TargetMode="External"/><Relationship Id="rId21" Type="http://schemas.openxmlformats.org/officeDocument/2006/relationships/hyperlink" Target="https://www.delawarestudentsuccess.org/military-pathway/" TargetMode="External"/><Relationship Id="rId22" Type="http://schemas.openxmlformats.org/officeDocument/2006/relationships/hyperlink" Target="https://deldhub.gacec.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fcUoOG8BCJm4UQFrrEystSsYIg==">CgMxLjA4AHIhMS01ZXIwR0pqMFJySzZaUWpYdEFQSUkwNHh6bzEtYy12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Counselor Guide</dc:title>
  <dc:subject>Launch Into Your Future postsecondary readiness, evidence, and transition handoff</dc:subject>
  <cp:keywords>Launch Into Your Future; postsecondary readiness; grade 12; Student Success Plan; Delaware</cp:keywords>
</cp:coreProperties>
</file>