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4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Pr>
          <w:rFonts w:ascii="Arial" w:hAnsi="Arial"/>
          <w:b/>
          <w:color w:val="FF6720"/>
          <w:sz w:val="18"/>
        </w:rPr>
        <w:t>CAMPAIGN KIT 49  |  STUDENT PLANNING AND TRANSITION TOOL</w:t>
      </w:r>
    </w:p>
    <w:p w:rsidR="00000000" w:rsidDel="00000000" w:rsidP="00000000" w:rsidRDefault="00000000" w:rsidRPr="00000000" w14:paraId="00000003">
      <w:pPr>
        <w:pStyle w:val="Title"/>
        <w:rPr/>
      </w:pPr>
      <w:r>
        <w:t>Postsecondary Readiness Checklist</w:t>
      </w:r>
    </w:p>
    <w:p w:rsidR="00000000" w:rsidDel="00000000" w:rsidP="00000000" w:rsidRDefault="00000000" w:rsidRPr="00000000" w14:paraId="00000004">
      <w:pPr>
        <w:pStyle w:val="Subtitle"/>
        <w:pBdr>
          <w:bottom w:color="00b0b9" w:space="5" w:sz="16" w:val="single"/>
        </w:pBdr>
        <w:rPr/>
      </w:pPr>
      <w:r>
        <w:t>Schoology-Ready Content</w:t>
      </w:r>
    </w:p>
    <w:p w:rsidR="00000000" w:rsidDel="00000000" w:rsidP="00000000" w:rsidRDefault="00000000" w:rsidRPr="00000000" w14:paraId="00000005">
      <w:pPr>
        <w:keepLines w:val="1"/>
        <w:spacing w:after="180" w:lineRule="auto" w:before="80" w:line="283"/>
        <w:rPr/>
        <w:shd w:fill="FFF2E8"/>
        <w:pBdr>
          <w:left w:val="single" w:sz="18" w:space="8" w:color="FF6720"/>
        </w:pBdr>
      </w:pPr>
      <w:r>
        <w:t>COPY-AND-PASTE PACKAGE Grade 12 students complete a universal readiness check, one route section, and one next-action record. A shorter preview may be assigned in late grade 11.</w:t>
      </w:r>
    </w:p>
    <w:p>
      <w:pPr>
        <w:pStyle w:val="Heading1"/>
      </w:pPr>
      <w:r>
        <w:t>Instructor setup</w:t>
      </w:r>
    </w:p>
    <w:tbl>
      <w:tblPr>
        <w:tblStyle w:val="TableGrid"/>
        <w:tblW w:type="dxa" w:w="9360"/>
        <w:jc w:val="left"/>
        <w:tblLayout w:type="fixed"/>
        <w:tblLook w:firstColumn="1" w:firstRow="1" w:lastColumn="0" w:lastRow="0" w:noHBand="0" w:noVBand="1" w:val="04A0"/>
        <w:tblInd w:w="0" w:type="dxa"/>
      </w:tblPr>
      <w:tblGrid>
        <w:gridCol w:w="2200"/>
        <w:gridCol w:w="7160"/>
      </w:tblGrid>
      <w:tr>
        <w:trPr>
          <w:tblHeader w:val="true"/>
        </w:trPr>
        <w:tc>
          <w:tcPr>
            <w:tcW w:type="dxa" w:w="2200"/>
            <w:shd w:fill="1D4289"/>
            <w:tcMar>
              <w:top w:w="80" w:type="dxa"/>
              <w:start w:w="120" w:type="dxa"/>
              <w:bottom w:w="80" w:type="dxa"/>
              <w:end w:w="120" w:type="dxa"/>
            </w:tcMar>
            <w:vAlign w:val="center"/>
          </w:tcPr>
          <w:p>
            <w:pPr>
              <w:spacing w:before="0" w:after="40" w:line="259" w:lineRule="auto"/>
            </w:pPr>
            <w:r>
              <w:rPr>
                <w:rFonts w:ascii="Arial" w:hAnsi="Arial"/>
                <w:b/>
                <w:color w:val="FFFFFF"/>
                <w:sz w:val="19"/>
              </w:rPr>
              <w:t>Schoology field</w:t>
            </w:r>
          </w:p>
        </w:tc>
        <w:tc>
          <w:tcPr>
            <w:tcW w:type="dxa" w:w="7160"/>
            <w:shd w:fill="1D4289"/>
            <w:tcMar>
              <w:top w:w="80" w:type="dxa"/>
              <w:start w:w="120" w:type="dxa"/>
              <w:bottom w:w="80" w:type="dxa"/>
              <w:end w:w="120" w:type="dxa"/>
            </w:tcMar>
            <w:vAlign w:val="center"/>
          </w:tcPr>
          <w:p>
            <w:pPr>
              <w:spacing w:before="0" w:after="40" w:line="259" w:lineRule="auto"/>
            </w:pPr>
            <w:r>
              <w:rPr>
                <w:rFonts w:ascii="Arial" w:hAnsi="Arial"/>
                <w:b/>
                <w:color w:val="FFFFFF"/>
                <w:sz w:val="19"/>
              </w:rPr>
              <w:t>Recommended entry</w:t>
            </w:r>
          </w:p>
        </w:tc>
      </w:tr>
      <w:tr>
        <w:trPr>
          <w:cantSplit w:val="true"/>
        </w:trPr>
        <w:tc>
          <w:tcPr>
            <w:tcW w:type="dxa" w:w="220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Page title</w:t>
            </w:r>
          </w:p>
        </w:tc>
        <w:tc>
          <w:tcPr>
            <w:tcW w:type="dxa" w:w="716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Launch Into Your Future | Postsecondary Readiness Check</w:t>
            </w:r>
          </w:p>
        </w:tc>
      </w:tr>
      <w:tr>
        <w:trPr>
          <w:cantSplit w:val="true"/>
        </w:trPr>
        <w:tc>
          <w:tcPr>
            <w:tcW w:type="dxa" w:w="2200"/>
            <w:tcMar>
              <w:top w:w="80" w:type="dxa"/>
              <w:start w:w="120" w:type="dxa"/>
              <w:bottom w:w="80" w:type="dxa"/>
              <w:end w:w="120" w:type="dxa"/>
            </w:tcMar>
            <w:vAlign w:val="center"/>
          </w:tcPr>
          <w:p>
            <w:pPr>
              <w:spacing w:before="0" w:after="40" w:line="259" w:lineRule="auto"/>
            </w:pPr>
            <w:r>
              <w:rPr>
                <w:rFonts w:ascii="Arial" w:hAnsi="Arial"/>
                <w:color w:val="1F2937"/>
                <w:sz w:val="19"/>
              </w:rPr>
              <w:t>Estimated time</w:t>
            </w:r>
          </w:p>
        </w:tc>
        <w:tc>
          <w:tcPr>
            <w:tcW w:type="dxa" w:w="7160"/>
            <w:tcMar>
              <w:top w:w="80" w:type="dxa"/>
              <w:start w:w="120" w:type="dxa"/>
              <w:bottom w:w="80" w:type="dxa"/>
              <w:end w:w="120" w:type="dxa"/>
            </w:tcMar>
            <w:vAlign w:val="center"/>
          </w:tcPr>
          <w:p>
            <w:pPr>
              <w:spacing w:before="0" w:after="40" w:line="259" w:lineRule="auto"/>
            </w:pPr>
            <w:r>
              <w:rPr>
                <w:rFonts w:ascii="Arial" w:hAnsi="Arial"/>
                <w:color w:val="1F2937"/>
                <w:sz w:val="19"/>
              </w:rPr>
              <w:t>25-35 minutes plus a counselor/adviser follow-up</w:t>
            </w:r>
          </w:p>
        </w:tc>
      </w:tr>
      <w:tr>
        <w:trPr>
          <w:cantSplit w:val="true"/>
        </w:trPr>
        <w:tc>
          <w:tcPr>
            <w:tcW w:type="dxa" w:w="220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Attachment</w:t>
            </w:r>
          </w:p>
        </w:tc>
        <w:tc>
          <w:tcPr>
            <w:tcW w:type="dxa" w:w="716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Campaign 49 Student Readiness Tracker</w:t>
            </w:r>
          </w:p>
        </w:tc>
      </w:tr>
      <w:tr>
        <w:trPr>
          <w:cantSplit w:val="true"/>
        </w:trPr>
        <w:tc>
          <w:tcPr>
            <w:tcW w:type="dxa" w:w="2200"/>
            <w:tcMar>
              <w:top w:w="80" w:type="dxa"/>
              <w:start w:w="120" w:type="dxa"/>
              <w:bottom w:w="80" w:type="dxa"/>
              <w:end w:w="120" w:type="dxa"/>
            </w:tcMar>
            <w:vAlign w:val="center"/>
          </w:tcPr>
          <w:p>
            <w:pPr>
              <w:spacing w:before="0" w:after="40" w:line="259" w:lineRule="auto"/>
            </w:pPr>
            <w:r>
              <w:rPr>
                <w:rFonts w:ascii="Arial" w:hAnsi="Arial"/>
                <w:color w:val="1F2937"/>
                <w:sz w:val="19"/>
              </w:rPr>
              <w:t>Student product</w:t>
            </w:r>
          </w:p>
        </w:tc>
        <w:tc>
          <w:tcPr>
            <w:tcW w:type="dxa" w:w="7160"/>
            <w:tcMar>
              <w:top w:w="80" w:type="dxa"/>
              <w:start w:w="120" w:type="dxa"/>
              <w:bottom w:w="80" w:type="dxa"/>
              <w:end w:w="120" w:type="dxa"/>
            </w:tcMar>
            <w:vAlign w:val="center"/>
          </w:tcPr>
          <w:p>
            <w:pPr>
              <w:spacing w:before="0" w:after="40" w:line="259" w:lineRule="auto"/>
            </w:pPr>
            <w:r>
              <w:rPr>
                <w:rFonts w:ascii="Arial" w:hAnsi="Arial"/>
                <w:color w:val="1F2937"/>
                <w:sz w:val="19"/>
              </w:rPr>
              <w:t>Status summary + one next-action record; tracker saved in the SSP or school-approved secure location</w:t>
            </w:r>
          </w:p>
        </w:tc>
      </w:tr>
      <w:tr>
        <w:trPr>
          <w:cantSplit w:val="true"/>
        </w:trPr>
        <w:tc>
          <w:tcPr>
            <w:tcW w:type="dxa" w:w="220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Privacy setting</w:t>
            </w:r>
          </w:p>
        </w:tc>
        <w:tc>
          <w:tcPr>
            <w:tcW w:type="dxa" w:w="716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Individual submission. Do not use a public discussion for personal readiness information.</w:t>
            </w:r>
          </w:p>
        </w:tc>
      </w:tr>
    </w:tbl>
    <w:p>
      <w:pPr>
        <w:spacing w:after="0"/>
      </w:pPr>
    </w:p>
    <w:p>
      <w:pPr>
        <w:pStyle w:val="Heading1"/>
      </w:pPr>
      <w:r>
        <w:t>Student-facing overview</w:t>
      </w:r>
    </w:p>
    <w:p>
      <w:r>
        <w:t>Campaign 48 helped you plan what to do by grade. Campaign 49 helps you check whether the pieces are in place for your next step after high school. You will not be judged as 'ready' or 'not ready.' You will identify what is done, what is underway, what is waiting on someone else, and where you want help.</w:t>
      </w:r>
    </w:p>
    <w:p>
      <w:pPr>
        <w:pStyle w:val="Heading2"/>
      </w:pPr>
      <w:r>
        <w:t>Learning target</w:t>
      </w:r>
    </w:p>
    <w:p>
      <w:r>
        <w:t>I can use the Student Readiness Tracker to record a task status, safe evidence label, owner/helper, due date, and follow-up date for my current postsecondary route.</w:t>
      </w:r>
    </w:p>
    <w:p>
      <w:pPr>
        <w:pStyle w:val="Heading2"/>
      </w:pPr>
      <w:r>
        <w:t>Directions</w:t>
      </w:r>
    </w:p>
    <w:p>
      <w:pPr>
        <w:pStyle w:val="ListNumber"/>
      </w:pPr>
      <w:r>
        <w:t>Open the Student Readiness Tracker. Add your primary route and a backup route.</w:t>
      </w:r>
    </w:p>
    <w:p>
      <w:pPr>
        <w:pStyle w:val="ListNumber"/>
      </w:pPr>
      <w:r>
        <w:t>Complete the universal readiness section using NS, WIP, WAIT, DONE, HELP, or N/A.</w:t>
      </w:r>
    </w:p>
    <w:p>
      <w:pPr>
        <w:pStyle w:val="ListNumber"/>
      </w:pPr>
      <w:r>
        <w:t>Complete the route section that matches your current first choice. Complete a second route only if you are actively comparing two options.</w:t>
      </w:r>
    </w:p>
    <w:p>
      <w:pPr>
        <w:pStyle w:val="ListNumber"/>
      </w:pPr>
      <w:r>
        <w:t>Choose one unfinished item. Record the evidence you already have, the next action, the person or office that can help, a due date, and a follow-up date.</w:t>
      </w:r>
    </w:p>
    <w:p>
      <w:pPr>
        <w:pStyle w:val="ListNumber"/>
      </w:pPr>
      <w:r>
        <w:t>Save the full tracker in your SSP or school-approved secure location. Submit only the response below in Schoology.</w:t>
      </w:r>
    </w:p>
    <w:p>
      <w:pPr>
        <w:pStyle w:val="Heading1"/>
      </w:pPr>
      <w:r>
        <w:t>Schoology student-response template</w:t>
      </w:r>
    </w:p>
    <w:p>
      <w:r>
        <w:t>Copy these prompts into the assignment response box:</w:t>
      </w:r>
    </w:p>
    <w:p>
      <w:pPr>
        <w:pStyle w:val="ListBullet"/>
      </w:pPr>
      <w:r>
        <w:t>My current primary route is...</w:t>
      </w:r>
    </w:p>
    <w:p>
      <w:pPr>
        <w:pStyle w:val="ListBullet"/>
      </w:pPr>
      <w:r>
        <w:t>My backup route is...</w:t>
      </w:r>
    </w:p>
    <w:p>
      <w:pPr>
        <w:pStyle w:val="ListBullet"/>
      </w:pPr>
      <w:r>
        <w:t>The status of my highest-priority unfinished item is NS / WIP / WAIT / HELP...</w:t>
      </w:r>
    </w:p>
    <w:p>
      <w:pPr>
        <w:pStyle w:val="ListBullet"/>
      </w:pPr>
      <w:r>
        <w:t>A safe description of the evidence I already have is...</w:t>
      </w:r>
    </w:p>
    <w:p>
      <w:pPr>
        <w:pStyle w:val="ListBullet"/>
      </w:pPr>
      <w:r>
        <w:t>My next action is...</w:t>
      </w:r>
    </w:p>
    <w:p>
      <w:pPr>
        <w:pStyle w:val="ListBullet"/>
      </w:pPr>
      <w:r>
        <w:t>The person or office that can help is...</w:t>
      </w:r>
    </w:p>
    <w:p>
      <w:pPr>
        <w:pStyle w:val="ListBullet"/>
      </w:pPr>
      <w:r>
        <w:t>My due date is...</w:t>
      </w:r>
    </w:p>
    <w:p>
      <w:pPr>
        <w:pStyle w:val="ListBullet"/>
      </w:pPr>
      <w:r>
        <w:t>My follow-up date is...</w:t>
      </w:r>
    </w:p>
    <w:p>
      <w:pPr>
        <w:pStyle w:val="ListBullet"/>
      </w:pPr>
      <w:r>
        <w:t>I want a private check-in: Yes / No</w:t>
      </w:r>
    </w:p>
    <w:p>
      <w:pPr>
        <w:pStyle w:val="Heading1"/>
      </w:pPr>
      <w:r>
        <w:t>Completed exemplar</w:t>
      </w:r>
    </w:p>
    <w:p>
      <w:pPr>
        <w:keepLines/>
        <w:spacing w:before="120" w:after="160"/>
        <w:ind w:left="115"/>
        <w:shd w:fill="F4F6F9"/>
        <w:pBdr>
          <w:left w:val="single" w:sz="18" w:space="8" w:color="FF6720"/>
        </w:pBdr>
      </w:pPr>
      <w:r>
        <w:rPr>
          <w:b/>
          <w:color w:val="1D4289"/>
        </w:rPr>
        <w:t xml:space="preserve">EXAMPLE SUBMISSION  </w:t>
      </w:r>
      <w:r>
        <w:t>My primary route is a Registered Apprenticeship in electrical work. My backup is a community-college industrial systems program. My highest-priority item is WAIT because I submitted the sponsor application but do not have an interview date. Evidence: application confirmation saved in my secure school folder. Next action: send a short follow-up question through the sponsor's official contact channel. Helper: my counselor can review the message; the sponsor makes the selection decision. Due: October 15. Follow-up: counselor check-in October 18. Private check-in: No.</w:t>
      </w:r>
    </w:p>
    <w:p>
      <w:pPr>
        <w:pStyle w:val="Heading2"/>
      </w:pPr>
      <w:r>
        <w:t>Before you submit</w:t>
      </w:r>
    </w:p>
    <w:p>
      <w:pPr>
        <w:pStyle w:val="ListBullet"/>
      </w:pPr>
      <w:r>
        <w:t>Your primary route and backup are named, or you request help choosing.</w:t>
      </w:r>
    </w:p>
    <w:p>
      <w:pPr>
        <w:pStyle w:val="ListBullet"/>
      </w:pPr>
      <w:r>
        <w:t>Your status matches the situation; WAIT means another person/office has the next move, and HELP means a barrier or question needs support.</w:t>
      </w:r>
    </w:p>
    <w:p>
      <w:pPr>
        <w:pStyle w:val="ListBullet"/>
      </w:pPr>
      <w:r>
        <w:t>You include one next action, one owner/helper, a due date, and a different follow-up date when appropriate.</w:t>
      </w:r>
    </w:p>
    <w:p>
      <w:pPr>
        <w:pStyle w:val="ListBullet"/>
      </w:pPr>
      <w:r>
        <w:t>You use a safe evidence description. Do not attach private records unless a counselor gives you an approved secure process.</w:t>
      </w:r>
    </w:p>
    <w:p>
      <w:pPr>
        <w:pStyle w:val="ListBullet"/>
      </w:pPr>
      <w:r>
        <w:t>You request a private check-in if the issue involves personal, family, disability, immigration, financial, health, military-contract, or other sensitive information.</w:t>
      </w:r>
    </w:p>
    <w:p>
      <w:pPr>
        <w:pStyle w:val="Heading1"/>
      </w:pPr>
      <w:r>
        <w:t>Teacher follow-up codes</w:t>
      </w:r>
    </w:p>
    <w:p>
      <w:r>
        <w:t>These codes support routing; they are not grades and should not be visible as labels about a student's ability.</w:t>
      </w:r>
    </w:p>
    <w:tbl>
      <w:tblPr>
        <w:tblStyle w:val="TableGrid"/>
        <w:tblW w:type="dxa" w:w="9360"/>
        <w:jc w:val="left"/>
        <w:tblLayout w:type="fixed"/>
        <w:tblLook w:firstColumn="1" w:firstRow="1" w:lastColumn="0" w:lastRow="0" w:noHBand="0" w:noVBand="1" w:val="04A0"/>
        <w:tblInd w:w="0" w:type="dxa"/>
      </w:tblPr>
      <w:tblGrid>
        <w:gridCol w:w="800"/>
        <w:gridCol w:w="2550"/>
        <w:gridCol w:w="6010"/>
      </w:tblGrid>
      <w:tr>
        <w:trPr>
          <w:tblHeader w:val="true"/>
        </w:trPr>
        <w:tc>
          <w:tcPr>
            <w:tcW w:type="dxa" w:w="800"/>
            <w:shd w:fill="1D4289"/>
            <w:tcMar>
              <w:top w:w="80" w:type="dxa"/>
              <w:start w:w="120" w:type="dxa"/>
              <w:bottom w:w="80" w:type="dxa"/>
              <w:end w:w="120" w:type="dxa"/>
            </w:tcMar>
            <w:vAlign w:val="center"/>
          </w:tcPr>
          <w:p>
            <w:pPr>
              <w:spacing w:before="0" w:after="40" w:line="259" w:lineRule="auto"/>
            </w:pPr>
            <w:r>
              <w:rPr>
                <w:rFonts w:ascii="Arial" w:hAnsi="Arial"/>
                <w:b/>
                <w:color w:val="FFFFFF"/>
                <w:sz w:val="18"/>
              </w:rPr>
              <w:t>Code</w:t>
            </w:r>
          </w:p>
        </w:tc>
        <w:tc>
          <w:tcPr>
            <w:tcW w:type="dxa" w:w="2550"/>
            <w:shd w:fill="1D4289"/>
            <w:tcMar>
              <w:top w:w="80" w:type="dxa"/>
              <w:start w:w="120" w:type="dxa"/>
              <w:bottom w:w="80" w:type="dxa"/>
              <w:end w:w="120" w:type="dxa"/>
            </w:tcMar>
            <w:vAlign w:val="center"/>
          </w:tcPr>
          <w:p>
            <w:pPr>
              <w:spacing w:before="0" w:after="40" w:line="259" w:lineRule="auto"/>
            </w:pPr>
            <w:r>
              <w:rPr>
                <w:rFonts w:ascii="Arial" w:hAnsi="Arial"/>
                <w:b/>
                <w:color w:val="FFFFFF"/>
                <w:sz w:val="18"/>
              </w:rPr>
              <w:t>Meaning</w:t>
            </w:r>
          </w:p>
        </w:tc>
        <w:tc>
          <w:tcPr>
            <w:tcW w:type="dxa" w:w="6010"/>
            <w:shd w:fill="1D4289"/>
            <w:tcMar>
              <w:top w:w="80" w:type="dxa"/>
              <w:start w:w="120" w:type="dxa"/>
              <w:bottom w:w="80" w:type="dxa"/>
              <w:end w:w="120" w:type="dxa"/>
            </w:tcMar>
            <w:vAlign w:val="center"/>
          </w:tcPr>
          <w:p>
            <w:pPr>
              <w:spacing w:before="0" w:after="40" w:line="259" w:lineRule="auto"/>
            </w:pPr>
            <w:r>
              <w:rPr>
                <w:rFonts w:ascii="Arial" w:hAnsi="Arial"/>
                <w:b/>
                <w:color w:val="FFFFFF"/>
                <w:sz w:val="18"/>
              </w:rPr>
              <w:t>Teacher/counselor action</w:t>
            </w:r>
          </w:p>
        </w:tc>
      </w:tr>
      <w:tr>
        <w:trPr>
          <w:cantSplit w:val="true"/>
        </w:trPr>
        <w:tc>
          <w:tcPr>
            <w:tcW w:type="dxa" w:w="80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C</w:t>
            </w:r>
          </w:p>
        </w:tc>
        <w:tc>
          <w:tcPr>
            <w:tcW w:type="dxa" w:w="255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Complete for this check-in</w:t>
            </w:r>
          </w:p>
        </w:tc>
        <w:tc>
          <w:tcPr>
            <w:tcW w:type="dxa" w:w="601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Acknowledge and confirm the next review point.</w:t>
            </w:r>
          </w:p>
        </w:tc>
      </w:tr>
      <w:tr>
        <w:trPr>
          <w:cantSplit w:val="true"/>
        </w:trPr>
        <w:tc>
          <w:tcPr>
            <w:tcW w:type="dxa" w:w="800"/>
            <w:tcMar>
              <w:top w:w="80" w:type="dxa"/>
              <w:start w:w="120" w:type="dxa"/>
              <w:bottom w:w="80" w:type="dxa"/>
              <w:end w:w="120" w:type="dxa"/>
            </w:tcMar>
            <w:vAlign w:val="center"/>
          </w:tcPr>
          <w:p>
            <w:pPr>
              <w:spacing w:before="0" w:after="40" w:line="259" w:lineRule="auto"/>
            </w:pPr>
            <w:r>
              <w:rPr>
                <w:rFonts w:ascii="Arial" w:hAnsi="Arial"/>
                <w:color w:val="1F2937"/>
                <w:sz w:val="18"/>
              </w:rPr>
              <w:t>Q</w:t>
            </w:r>
          </w:p>
        </w:tc>
        <w:tc>
          <w:tcPr>
            <w:tcW w:type="dxa" w:w="2550"/>
            <w:tcMar>
              <w:top w:w="80" w:type="dxa"/>
              <w:start w:w="120" w:type="dxa"/>
              <w:bottom w:w="80" w:type="dxa"/>
              <w:end w:w="120" w:type="dxa"/>
            </w:tcMar>
            <w:vAlign w:val="center"/>
          </w:tcPr>
          <w:p>
            <w:pPr>
              <w:spacing w:before="0" w:after="40" w:line="259" w:lineRule="auto"/>
            </w:pPr>
            <w:r>
              <w:rPr>
                <w:rFonts w:ascii="Arial" w:hAnsi="Arial"/>
                <w:color w:val="1F2937"/>
                <w:sz w:val="18"/>
              </w:rPr>
              <w:t>Question or unclear requirement</w:t>
            </w:r>
          </w:p>
        </w:tc>
        <w:tc>
          <w:tcPr>
            <w:tcW w:type="dxa" w:w="6010"/>
            <w:tcMar>
              <w:top w:w="80" w:type="dxa"/>
              <w:start w:w="120" w:type="dxa"/>
              <w:bottom w:w="80" w:type="dxa"/>
              <w:end w:w="120" w:type="dxa"/>
            </w:tcMar>
            <w:vAlign w:val="center"/>
          </w:tcPr>
          <w:p>
            <w:pPr>
              <w:spacing w:before="0" w:after="40" w:line="259" w:lineRule="auto"/>
            </w:pPr>
            <w:r>
              <w:rPr>
                <w:rFonts w:ascii="Arial" w:hAnsi="Arial"/>
                <w:color w:val="1F2937"/>
                <w:sz w:val="18"/>
              </w:rPr>
              <w:t>Answer from an approved source or route to the responsible office.</w:t>
            </w:r>
          </w:p>
        </w:tc>
      </w:tr>
      <w:tr>
        <w:trPr>
          <w:cantSplit w:val="true"/>
        </w:trPr>
        <w:tc>
          <w:tcPr>
            <w:tcW w:type="dxa" w:w="80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R</w:t>
            </w:r>
          </w:p>
        </w:tc>
        <w:tc>
          <w:tcPr>
            <w:tcW w:type="dxa" w:w="255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Referral needed</w:t>
            </w:r>
          </w:p>
        </w:tc>
        <w:tc>
          <w:tcPr>
            <w:tcW w:type="dxa" w:w="601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Make a warm referral and name the person accepting it.</w:t>
            </w:r>
          </w:p>
        </w:tc>
      </w:tr>
      <w:tr>
        <w:trPr>
          <w:cantSplit w:val="true"/>
        </w:trPr>
        <w:tc>
          <w:tcPr>
            <w:tcW w:type="dxa" w:w="800"/>
            <w:tcMar>
              <w:top w:w="80" w:type="dxa"/>
              <w:start w:w="120" w:type="dxa"/>
              <w:bottom w:w="80" w:type="dxa"/>
              <w:end w:w="120" w:type="dxa"/>
            </w:tcMar>
            <w:vAlign w:val="center"/>
          </w:tcPr>
          <w:p>
            <w:pPr>
              <w:spacing w:before="0" w:after="40" w:line="259" w:lineRule="auto"/>
            </w:pPr>
            <w:r>
              <w:rPr>
                <w:rFonts w:ascii="Arial" w:hAnsi="Arial"/>
                <w:color w:val="1F2937"/>
                <w:sz w:val="18"/>
              </w:rPr>
              <w:t>T</w:t>
            </w:r>
          </w:p>
        </w:tc>
        <w:tc>
          <w:tcPr>
            <w:tcW w:type="dxa" w:w="2550"/>
            <w:tcMar>
              <w:top w:w="80" w:type="dxa"/>
              <w:start w:w="120" w:type="dxa"/>
              <w:bottom w:w="80" w:type="dxa"/>
              <w:end w:w="120" w:type="dxa"/>
            </w:tcMar>
            <w:vAlign w:val="center"/>
          </w:tcPr>
          <w:p>
            <w:pPr>
              <w:spacing w:before="0" w:after="40" w:line="259" w:lineRule="auto"/>
            </w:pPr>
            <w:r>
              <w:rPr>
                <w:rFonts w:ascii="Arial" w:hAnsi="Arial"/>
                <w:color w:val="1F2937"/>
                <w:sz w:val="18"/>
              </w:rPr>
              <w:t>Time-sensitive</w:t>
            </w:r>
          </w:p>
        </w:tc>
        <w:tc>
          <w:tcPr>
            <w:tcW w:type="dxa" w:w="6010"/>
            <w:tcMar>
              <w:top w:w="80" w:type="dxa"/>
              <w:start w:w="120" w:type="dxa"/>
              <w:bottom w:w="80" w:type="dxa"/>
              <w:end w:w="120" w:type="dxa"/>
            </w:tcMar>
            <w:vAlign w:val="center"/>
          </w:tcPr>
          <w:p>
            <w:pPr>
              <w:spacing w:before="0" w:after="40" w:line="259" w:lineRule="auto"/>
            </w:pPr>
            <w:r>
              <w:rPr>
                <w:rFonts w:ascii="Arial" w:hAnsi="Arial"/>
                <w:color w:val="1F2937"/>
                <w:sz w:val="18"/>
              </w:rPr>
              <w:t>Prioritize a deadline or expiring decision; confirm the current date with the owner.</w:t>
            </w:r>
          </w:p>
        </w:tc>
      </w:tr>
      <w:tr>
        <w:trPr>
          <w:cantSplit w:val="true"/>
        </w:trPr>
        <w:tc>
          <w:tcPr>
            <w:tcW w:type="dxa" w:w="80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B</w:t>
            </w:r>
          </w:p>
        </w:tc>
        <w:tc>
          <w:tcPr>
            <w:tcW w:type="dxa" w:w="255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Barrier or basic-needs/logistics concern</w:t>
            </w:r>
          </w:p>
        </w:tc>
        <w:tc>
          <w:tcPr>
            <w:tcW w:type="dxa" w:w="601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Offer a private check-in and connect to local supports without requiring public disclosure.</w:t>
            </w:r>
          </w:p>
        </w:tc>
      </w:tr>
      <w:tr>
        <w:trPr>
          <w:cantSplit w:val="true"/>
        </w:trPr>
        <w:tc>
          <w:tcPr>
            <w:tcW w:type="dxa" w:w="800"/>
            <w:tcMar>
              <w:top w:w="80" w:type="dxa"/>
              <w:start w:w="120" w:type="dxa"/>
              <w:bottom w:w="80" w:type="dxa"/>
              <w:end w:w="120" w:type="dxa"/>
            </w:tcMar>
            <w:vAlign w:val="center"/>
          </w:tcPr>
          <w:p>
            <w:pPr>
              <w:spacing w:before="0" w:after="40" w:line="259" w:lineRule="auto"/>
            </w:pPr>
            <w:r>
              <w:rPr>
                <w:rFonts w:ascii="Arial" w:hAnsi="Arial"/>
                <w:color w:val="1F2937"/>
                <w:sz w:val="18"/>
              </w:rPr>
              <w:t>P</w:t>
            </w:r>
          </w:p>
        </w:tc>
        <w:tc>
          <w:tcPr>
            <w:tcW w:type="dxa" w:w="2550"/>
            <w:tcMar>
              <w:top w:w="80" w:type="dxa"/>
              <w:start w:w="120" w:type="dxa"/>
              <w:bottom w:w="80" w:type="dxa"/>
              <w:end w:w="120" w:type="dxa"/>
            </w:tcMar>
            <w:vAlign w:val="center"/>
          </w:tcPr>
          <w:p>
            <w:pPr>
              <w:spacing w:before="0" w:after="40" w:line="259" w:lineRule="auto"/>
            </w:pPr>
            <w:r>
              <w:rPr>
                <w:rFonts w:ascii="Arial" w:hAnsi="Arial"/>
                <w:color w:val="1F2937"/>
                <w:sz w:val="18"/>
              </w:rPr>
              <w:t>Privacy correction</w:t>
            </w:r>
          </w:p>
        </w:tc>
        <w:tc>
          <w:tcPr>
            <w:tcW w:type="dxa" w:w="6010"/>
            <w:tcMar>
              <w:top w:w="80" w:type="dxa"/>
              <w:start w:w="120" w:type="dxa"/>
              <w:bottom w:w="80" w:type="dxa"/>
              <w:end w:w="120" w:type="dxa"/>
            </w:tcMar>
            <w:vAlign w:val="center"/>
          </w:tcPr>
          <w:p>
            <w:pPr>
              <w:spacing w:before="0" w:after="40" w:line="259" w:lineRule="auto"/>
            </w:pPr>
            <w:r>
              <w:rPr>
                <w:rFonts w:ascii="Arial" w:hAnsi="Arial"/>
                <w:color w:val="1F2937"/>
                <w:sz w:val="18"/>
              </w:rPr>
              <w:t>Remove or secure exposed information and follow school privacy procedures.</w:t>
            </w:r>
          </w:p>
        </w:tc>
      </w:tr>
      <w:tr>
        <w:trPr>
          <w:cantSplit w:val="true"/>
        </w:trPr>
        <w:tc>
          <w:tcPr>
            <w:tcW w:type="dxa" w:w="80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F</w:t>
            </w:r>
          </w:p>
        </w:tc>
        <w:tc>
          <w:tcPr>
            <w:tcW w:type="dxa" w:w="255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Follow-up date needed</w:t>
            </w:r>
          </w:p>
        </w:tc>
        <w:tc>
          <w:tcPr>
            <w:tcW w:type="dxa" w:w="6010"/>
            <w:shd w:fill="F8FAFC"/>
            <w:tcMar>
              <w:top w:w="80" w:type="dxa"/>
              <w:start w:w="120" w:type="dxa"/>
              <w:bottom w:w="80" w:type="dxa"/>
              <w:end w:w="120" w:type="dxa"/>
            </w:tcMar>
            <w:vAlign w:val="center"/>
          </w:tcPr>
          <w:p>
            <w:pPr>
              <w:spacing w:before="0" w:after="40" w:line="259" w:lineRule="auto"/>
            </w:pPr>
            <w:r>
              <w:rPr>
                <w:rFonts w:ascii="Arial" w:hAnsi="Arial"/>
                <w:color w:val="1F2937"/>
                <w:sz w:val="18"/>
              </w:rPr>
              <w:t>Add a dated check-back, especially for WAIT items.</w:t>
            </w:r>
          </w:p>
        </w:tc>
      </w:tr>
    </w:tbl>
    <w:p>
      <w:pPr>
        <w:spacing w:after="0"/>
      </w:pPr>
    </w:p>
    <w:p>
      <w:pPr>
        <w:pStyle w:val="Heading2"/>
      </w:pPr>
      <w:r>
        <w:t>Suggested feedback comments</w:t>
      </w:r>
    </w:p>
    <w:p>
      <w:pPr>
        <w:pStyle w:val="ListBullet"/>
      </w:pPr>
      <w:r>
        <w:t>Your status is clear. Add where the evidence is saved and a follow-up date.</w:t>
      </w:r>
    </w:p>
    <w:p>
      <w:pPr>
        <w:pStyle w:val="ListBullet"/>
      </w:pPr>
      <w:r>
        <w:t>This is a WAIT item, not a missing-effort issue. I will help you identify the correct office to contact.</w:t>
      </w:r>
    </w:p>
    <w:p>
      <w:pPr>
        <w:pStyle w:val="ListBullet"/>
      </w:pPr>
      <w:r>
        <w:t>You identified a barrier. I am routing this for a private check-in with [name/office] by [date].</w:t>
      </w:r>
    </w:p>
    <w:p>
      <w:pPr>
        <w:pStyle w:val="ListBullet"/>
      </w:pPr>
      <w:r>
        <w:t>Please remove the private information from this submission. We will use the school's secure process instead.</w:t>
      </w:r>
    </w:p>
    <w:p>
      <w:pPr>
        <w:keepLines/>
        <w:spacing w:before="120" w:after="160"/>
        <w:ind w:left="115"/>
        <w:shd w:fill="E8EEF5"/>
        <w:pBdr>
          <w:left w:val="single" w:sz="18" w:space="8" w:color="FF6720"/>
        </w:pBdr>
      </w:pPr>
      <w:r>
        <w:rPr>
          <w:b/>
          <w:color w:val="1D4289"/>
        </w:rPr>
        <w:t xml:space="preserve">AI HELP AND LIMITS  </w:t>
      </w:r>
      <w:r>
        <w:t>The Launch AI model can explain a checklist item, point to approved resources, break a missing item into smaller steps, and help draft questions. It does not decide admission, eligibility, aid, enlistment, hiring, or accommodations. Do not enter passwords, Social Security numbers, FSA IDs, immigration records, medical/disability records, or other private information; verify final requirements with the person or office that makes the decision.</w:t>
      </w:r>
    </w:p>
    <w:p>
      <w:pPr>
        <w:keepLines/>
        <w:spacing w:before="120" w:after="160"/>
        <w:ind w:left="115"/>
        <w:shd w:fill="F4F6F9"/>
        <w:pBdr>
          <w:left w:val="single" w:sz="18" w:space="8" w:color="FF6720"/>
        </w:pBdr>
      </w:pPr>
      <w:r>
        <w:rPr>
          <w:b/>
          <w:color w:val="1D4289"/>
        </w:rPr>
        <w:t xml:space="preserve">TRY LAUNCH AI  </w:t>
      </w:r>
      <w:r>
        <w:t>Start with one checklist item. Try: 'Explain net cost in plain language and give me three questions to ask the financial-aid office.' 'Turn this WAIT item into three small steps and draft a polite follow-up question.' 'Help me compare two transportation plans.' Use the answer to prepare, then check dates and requirements with the official source.</w:t>
      </w:r>
    </w:p>
    <w:p>
      <w:pPr>
        <w:pStyle w:val="Heading2"/>
      </w:pPr>
      <w:r>
        <w:t>Privacy note for the assignment page</w:t>
      </w:r>
    </w:p>
    <w:p>
      <w:r>
        <w:t>Submit a status and a safe description of evidence - not the private record itself. Do not post passwords, identification numbers, financial account information, immigration records, medical/disability records, detailed family circumstances, or documents that should remain in a secure school system. Ask for a private check-in when the issue cannot be handled safely in the assignment response.</w:t>
      </w:r>
    </w:p>
    <w:p>
      <w:pPr>
        <w:pStyle w:val="Heading2"/>
      </w:pPr>
      <w:r>
        <w:t>Sources and verification</w:t>
      </w:r>
    </w:p>
    <w:p>
      <w:pPr>
        <w:spacing w:after="80"/>
      </w:pPr>
      <w:r>
        <w:t>Source list reviewed August 23, 2026. Confirm changing dates, costs, eligibility, documents, and local procedures with the school, program, employer, military office, agency, or other organization that makes the decision.</w:t>
      </w:r>
    </w:p>
    <w:p>
      <w:pPr>
        <w:pStyle w:val="ListBullet"/>
      </w:pPr>
      <w:hyperlink r:id="rId10">
        <w:r>
          <w:rPr>
            <w:rFonts w:ascii="Arial" w:hAnsi="Arial"/>
            <w:color w:val="1D4289"/>
            <w:u w:val="single"/>
          </w:rPr>
          <w:t>Delaware Student Success - Launch pathway hub</w:t>
        </w:r>
      </w:hyperlink>
    </w:p>
    <w:p>
      <w:pPr>
        <w:pStyle w:val="ListBullet"/>
      </w:pPr>
      <w:hyperlink r:id="rId15">
        <w:r>
          <w:rPr>
            <w:rFonts w:ascii="Arial" w:hAnsi="Arial"/>
            <w:color w:val="1D4289"/>
            <w:u w:val="single"/>
          </w:rPr>
          <w:t>Delaware Student Success - Grade 12 checklist</w:t>
        </w:r>
      </w:hyperlink>
    </w:p>
    <w:p>
      <w:pPr>
        <w:pStyle w:val="ListBullet"/>
      </w:pPr>
      <w:hyperlink r:id="rId14">
        <w:r>
          <w:rPr>
            <w:rFonts w:ascii="Arial" w:hAnsi="Arial"/>
            <w:color w:val="1D4289"/>
            <w:u w:val="single"/>
          </w:rPr>
          <w:t>Delaware Student Success - Grade 11 checklist</w:t>
        </w:r>
      </w:hyperlink>
    </w:p>
    <w:p>
      <w:pPr>
        <w:pStyle w:val="ListBullet"/>
      </w:pPr>
      <w:hyperlink r:id="rId17">
        <w:r>
          <w:rPr>
            <w:rFonts w:ascii="Arial" w:hAnsi="Arial"/>
            <w:color w:val="1D4289"/>
            <w:u w:val="single"/>
          </w:rPr>
          <w:t>Delaware Student Success - Senior Workbook</w:t>
        </w:r>
      </w:hyperlink>
    </w:p>
    <w:p>
      <w:pPr>
        <w:pStyle w:val="ListBullet"/>
      </w:pPr>
      <w:hyperlink r:id="rId18">
        <w:r>
          <w:rPr>
            <w:rFonts w:ascii="Arial" w:hAnsi="Arial"/>
            <w:color w:val="1D4289"/>
            <w:u w:val="single"/>
          </w:rPr>
          <w:t>Delaware Student Success - FAFSA guidance</w:t>
        </w:r>
      </w:hyperlink>
    </w:p>
    <w:p>
      <w:pPr>
        <w:pStyle w:val="ListBullet"/>
      </w:pPr>
      <w:hyperlink r:id="rId16">
        <w:r>
          <w:rPr>
            <w:rFonts w:ascii="Arial" w:hAnsi="Arial"/>
            <w:color w:val="1D4289"/>
            <w:u w:val="single"/>
          </w:rPr>
          <w:t>Federal Student Aid - College and career preparation checklists</w:t>
        </w:r>
      </w:hyperlink>
    </w:p>
    <w:p>
      <w:pPr>
        <w:pStyle w:val="ListBullet"/>
      </w:pPr>
      <w:hyperlink r:id="rId19">
        <w:r>
          <w:rPr>
            <w:rFonts w:ascii="Arial" w:hAnsi="Arial"/>
            <w:color w:val="1D4289"/>
            <w:u w:val="single"/>
          </w:rPr>
          <w:t>Delaware JobLink</w:t>
        </w:r>
      </w:hyperlink>
    </w:p>
    <w:p>
      <w:pPr>
        <w:pStyle w:val="ListBullet"/>
      </w:pPr>
      <w:hyperlink r:id="rId20">
        <w:r>
          <w:rPr>
            <w:rFonts w:ascii="Arial" w:hAnsi="Arial"/>
            <w:color w:val="1D4289"/>
            <w:u w:val="single"/>
          </w:rPr>
          <w:t>Delaware Department of Labor - Apprenticeship and Training</w:t>
        </w:r>
      </w:hyperlink>
    </w:p>
    <w:p>
      <w:pPr>
        <w:pStyle w:val="ListBullet"/>
      </w:pPr>
      <w:hyperlink r:id="rId21">
        <w:r>
          <w:rPr>
            <w:rFonts w:ascii="Arial" w:hAnsi="Arial"/>
            <w:color w:val="1D4289"/>
            <w:u w:val="single"/>
          </w:rPr>
          <w:t>Delaware Student Success - Military Pathway</w:t>
        </w:r>
      </w:hyperlink>
    </w:p>
    <w:p>
      <w:pPr>
        <w:pStyle w:val="ListBullet"/>
      </w:pPr>
      <w:hyperlink r:id="rId22">
        <w:r>
          <w:rPr>
            <w:rFonts w:ascii="Arial" w:hAnsi="Arial"/>
            <w:color w:val="1D4289"/>
            <w:u w:val="single"/>
          </w:rPr>
          <w:t>Delaware Disability Hub</w:t>
        </w:r>
      </w:hyperlink>
    </w:p>
    <w:sectPr>
      <w:headerReference r:id="rId11" w:type="default"/>
      <w:footerReference r:id="rId12"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49 Postsecondary Readiness Checklist  |  Page </w:t>
    </w:r>
    <w:r w:rsidDel="00000000" w:rsidR="00000000" w:rsidRPr="00000000">
      <w:rPr>
        <w:rFonts w:ascii="Arial" w:cs="Arial" w:eastAsia="Arial" w:hAnsi="Arial"/>
        <w:b w:val="0"/>
        <w:bCs w:val="0"/>
        <w:i w:val="0"/>
        <w:iCs w:val="0"/>
        <w:smallCaps w:val="0"/>
        <w:strike w:val="0"/>
        <w:color w:val="1f2937"/>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LAUNCH INTO YOUR FUTURE  |  SCHOOLOGY-READY CONTENT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2"/>
        <w:szCs w:val="22"/>
        <w:lang w:val="en"/>
      </w:rPr>
    </w:rPrDefault>
    <w:pPrDefault>
      <w:pPr>
        <w:spacing w:after="120"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pPr>
      <w:spacing w:before="0" w:after="120" w:line="300" w:lineRule="auto"/>
    </w:pPr>
    <w:rPr>
      <w:rFonts w:ascii="Arial" w:hAnsi="Arial"/>
      <w:color w:val="1F2937"/>
      <w:sz w:val="22"/>
    </w:rPr>
  </w:style>
  <w:style w:type="paragraph" w:styleId="Heading1">
    <w:name w:val="heading 1"/>
    <w:basedOn w:val="Normal"/>
    <w:next w:val="Normal"/>
    <w:pPr>
      <w:keepNext/>
      <w:keepLines w:val="1"/>
      <w:spacing w:after="200" w:before="360" w:line="252" w:lineRule="auto"/>
    </w:pPr>
    <w:rPr>
      <w:rFonts w:ascii="Arial" w:cs="Arial" w:eastAsia="Arial" w:hAnsi="Arial"/>
      <w:b/>
      <w:bCs w:val="1"/>
      <w:color w:val="1D4289"/>
      <w:sz w:val="32"/>
      <w:szCs w:val="32"/>
    </w:rPr>
  </w:style>
  <w:style w:type="paragraph" w:styleId="Heading2">
    <w:name w:val="heading 2"/>
    <w:basedOn w:val="Normal"/>
    <w:next w:val="Normal"/>
    <w:pPr>
      <w:keepNext/>
      <w:keepLines w:val="1"/>
      <w:spacing w:after="140" w:before="280" w:line="252" w:lineRule="auto"/>
    </w:pPr>
    <w:rPr>
      <w:rFonts w:ascii="Arial" w:cs="Arial" w:eastAsia="Arial" w:hAnsi="Arial"/>
      <w:b/>
      <w:bCs w:val="1"/>
      <w:color w:val="1D4289"/>
      <w:sz w:val="26"/>
      <w:szCs w:val="26"/>
    </w:rPr>
  </w:style>
  <w:style w:type="paragraph" w:styleId="Heading3">
    <w:name w:val="heading 3"/>
    <w:basedOn w:val="Normal"/>
    <w:next w:val="Normal"/>
    <w:pPr>
      <w:keepNext/>
      <w:keepLines w:val="1"/>
      <w:spacing w:after="100" w:before="200" w:line="252" w:lineRule="auto"/>
    </w:pPr>
    <w:rPr>
      <w:rFonts w:ascii="Arial" w:cs="Arial" w:eastAsia="Arial" w:hAnsi="Arial"/>
      <w:b/>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100" w:before="0" w:line="240" w:lineRule="auto"/>
    </w:pPr>
    <w:rPr>
      <w:rFonts w:ascii="Arial" w:cs="Arial" w:eastAsia="Arial" w:hAnsi="Arial"/>
      <w:b/>
      <w:bCs w:val="1"/>
      <w:color w:val="1D4289"/>
      <w:sz w:val="50"/>
      <w:szCs w:val="50"/>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spacing w:after="80" w:line="300" w:lineRule="auto"/>
      <w:ind w:left="540" w:hanging="271"/>
      <w:contextualSpacing w:val="1"/>
    </w:pPr>
    <w:rPr>
      <w:rFonts w:ascii="Arial" w:hAnsi="Arial"/>
      <w:sz w:val="22"/>
    </w:r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spacing w:after="80" w:line="300" w:lineRule="auto"/>
      <w:ind w:left="540" w:hanging="271"/>
      <w:contextualSpacing w:val="1"/>
    </w:pPr>
    <w:rPr>
      <w:rFonts w:ascii="Arial" w:hAnsi="Arial"/>
      <w:sz w:val="22"/>
    </w:r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60" w:before="0" w:line="264" w:lineRule="auto"/>
    </w:pPr>
    <w:rPr>
      <w:rFonts w:ascii="Arial" w:eastAsia="Arial" w:hAnsi="Arial"/>
      <w:b w:val="0"/>
      <w:color w:val="667085"/>
      <w:sz w:val="18"/>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240" w:before="0" w:line="259" w:lineRule="auto"/>
    </w:pPr>
    <w:rPr>
      <w:rFonts w:ascii="Arial" w:cs="Arial" w:eastAsia="Arial" w:hAnsi="Arial"/>
      <w:b w:val="0"/>
      <w:bCs w:val="0"/>
      <w:i w:val="1"/>
      <w:iCs w:val="1"/>
      <w:color w:val="4A5568"/>
      <w:sz w:val="27"/>
      <w:szCs w:val="27"/>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elawarestudentsuccess.org/launch/" TargetMode="External"/><Relationship Id="rId12" Type="http://schemas.openxmlformats.org/officeDocument/2006/relationships/footer" Target="footer1.xml"/><Relationship Id="rId9" Type="http://schemas.openxmlformats.org/officeDocument/2006/relationships/hyperlink" Target="https://www.delawarestudentsuccess.org/how-to-apply-to-colleg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tudentaid.gov/articles/first-time-college-students/" TargetMode="External"/><Relationship Id="rId13" Type="http://schemas.openxmlformats.org/officeDocument/2006/relationships/hyperlink" Target="https://www.delawarestudentsuccess.org/9-10th/" TargetMode="External"/><Relationship Id="rId14" Type="http://schemas.openxmlformats.org/officeDocument/2006/relationships/hyperlink" Target="https://www.delawarestudentsuccess.org/11th/" TargetMode="External"/><Relationship Id="rId15" Type="http://schemas.openxmlformats.org/officeDocument/2006/relationships/hyperlink" Target="https://www.delawarestudentsuccess.org/12th-main/" TargetMode="External"/><Relationship Id="rId16" Type="http://schemas.openxmlformats.org/officeDocument/2006/relationships/hyperlink" Target="https://studentaid.gov/resources/prepare-for-college/checklists" TargetMode="External"/><Relationship Id="rId17" Type="http://schemas.openxmlformats.org/officeDocument/2006/relationships/hyperlink" Target="https://www.delawarestudentsuccess.org/senior-workbook/" TargetMode="External"/><Relationship Id="rId18" Type="http://schemas.openxmlformats.org/officeDocument/2006/relationships/hyperlink" Target="https://www.delawarestudentsuccess.org/fafsa/" TargetMode="External"/><Relationship Id="rId19" Type="http://schemas.openxmlformats.org/officeDocument/2006/relationships/hyperlink" Target="https://joblink.delaware.gov/" TargetMode="External"/><Relationship Id="rId20" Type="http://schemas.openxmlformats.org/officeDocument/2006/relationships/hyperlink" Target="https://labor.delaware.gov/divisions/employment-training/apprenticeship-and-training/" TargetMode="External"/><Relationship Id="rId21" Type="http://schemas.openxmlformats.org/officeDocument/2006/relationships/hyperlink" Target="https://www.delawarestudentsuccess.org/military-pathway/" TargetMode="External"/><Relationship Id="rId22" Type="http://schemas.openxmlformats.org/officeDocument/2006/relationships/hyperlink" Target="https://deldhub.gacec.delawar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UAw0qMCpeklbr6BpPVheMFAY2A==">CgMxLjA4AHIhMUI4RWpDVS1KNnktamkwc0o2R0JidDVnTmNYZ0VpZkVQ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dc:title>49 Postsecondary Readiness Checklist - Schoology-Ready Content</dc:title>
  <dc:subject>Launch Into Your Future postsecondary readiness, evidence, and transition handoff</dc:subject>
  <cp:keywords>Launch Into Your Future; postsecondary readiness; grade 12; Student Success Plan; Delaware</cp:keywords>
</cp:coreProperties>
</file>