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Pr>
          <w:rFonts w:ascii="Arial" w:hAnsi="Arial"/>
          <w:b/>
          <w:color w:val="FF6720"/>
          <w:sz w:val="18"/>
        </w:rPr>
        <w:t>CAMPAIGN KIT 49  |  STUDENT PLANNING AND TRANSITION TOOL</w:t>
      </w:r>
    </w:p>
    <w:p w:rsidR="00000000" w:rsidDel="00000000" w:rsidP="00000000" w:rsidRDefault="00000000" w:rsidRPr="00000000" w14:paraId="00000003">
      <w:pPr>
        <w:pStyle w:val="Title"/>
        <w:rPr/>
      </w:pPr>
      <w:r>
        <w:t>Postsecondary Readiness Checklist</w:t>
      </w:r>
    </w:p>
    <w:p w:rsidR="00000000" w:rsidDel="00000000" w:rsidP="00000000" w:rsidRDefault="00000000" w:rsidRPr="00000000" w14:paraId="00000004">
      <w:pPr>
        <w:pStyle w:val="Subtitle"/>
        <w:pBdr>
          <w:bottom w:color="00b0b9" w:space="5" w:sz="16" w:val="single"/>
        </w:pBdr>
        <w:rPr/>
      </w:pPr>
      <w:r>
        <w:t>School Communication Template</w:t>
      </w:r>
    </w:p>
    <w:p w:rsidR="00000000" w:rsidDel="00000000" w:rsidP="00000000" w:rsidRDefault="00000000" w:rsidRPr="00000000" w14:paraId="00000005">
      <w:pPr>
        <w:keepLines w:val="1"/>
        <w:pBdr>
          <w:left w:color="FF6720" w:space="8" w:sz="18" w:val="single"/>
        </w:pBdr>
        <w:shd w:fill="FFF2E8" w:val="clear"/>
        <w:spacing w:after="180" w:before="80" w:line="283" w:lineRule="auto"/>
        <w:ind w:left="173" w:right="115" w:firstLine="0"/>
        <w:rPr/>
      </w:pPr>
      <w:r>
        <w:t>USE NOTE Customize the school contact, secure submission process, and dates. Keep the route choices, non-punitive status language, privacy protections, and AI limits intact.</w:t>
      </w:r>
    </w:p>
    <w:p>
      <w:r>
        <w:rPr>
          <w:b/>
        </w:rPr>
        <w:t xml:space="preserve">Subject: </w:t>
      </w:r>
      <w:r>
        <w:t>Grade 12 next step - complete your Postsecondary Readiness Check</w:t>
      </w:r>
    </w:p>
    <w:p>
      <w:r>
        <w:rPr>
          <w:b/>
        </w:rPr>
        <w:t xml:space="preserve">Audience: </w:t>
      </w:r>
      <w:r>
        <w:t>Grade 12 students and families; late-grade-11 preview as scheduled</w:t>
      </w:r>
    </w:p>
    <w:p>
      <w:pPr>
        <w:pStyle w:val="Heading1"/>
      </w:pPr>
      <w:r>
        <w:t>Message</w:t>
      </w:r>
    </w:p>
    <w:p>
      <w:r>
        <w:t>Dear students and families,</w:t>
      </w:r>
    </w:p>
    <w:p>
      <w:r>
        <w:t>This month, Launch Into Your Future is helping grade 12 students turn their postsecondary plans into clear, trackable next steps. The Postsecondary Readiness Checklist follows the grades 9-12 planning timeline. It is not another vague to-do list and it is not a pass/fail test.</w:t>
      </w:r>
    </w:p>
    <w:p>
      <w:r>
        <w:t>Students will review universal readiness areas, then complete the section for their current route: college, technical or trade training, Registered Apprenticeship, military service, direct-to-work, adult education, entrepreneurship/self-employment, or still deciding/comparing routes. They will record a task status, safe evidence label, next action, owner/helper, due date, and follow-up date. They will also keep a backup route visible and update the Student Success Plan.</w:t>
      </w:r>
    </w:p>
    <w:p>
      <w:pPr>
        <w:pStyle w:val="Heading2"/>
      </w:pPr>
      <w:r>
        <w:t>What the status means</w:t>
      </w:r>
    </w:p>
    <w:p>
      <w:pPr>
        <w:pStyle w:val="ListBullet"/>
      </w:pPr>
      <w:r>
        <w:t>NS - not started; identify the first small action.</w:t>
      </w:r>
    </w:p>
    <w:p>
      <w:pPr>
        <w:pStyle w:val="ListBullet"/>
      </w:pPr>
      <w:r>
        <w:t>WIP - working on it; record the next step and date.</w:t>
      </w:r>
    </w:p>
    <w:p>
      <w:pPr>
        <w:pStyle w:val="ListBullet"/>
      </w:pPr>
      <w:r>
        <w:t>WAIT - waiting on another person or office; save proof of contact and set a follow-up.</w:t>
      </w:r>
    </w:p>
    <w:p>
      <w:pPr>
        <w:pStyle w:val="ListBullet"/>
      </w:pPr>
      <w:r>
        <w:t>DONE - complete; save evidence.</w:t>
      </w:r>
    </w:p>
    <w:p>
      <w:pPr>
        <w:pStyle w:val="ListBullet"/>
      </w:pPr>
      <w:r>
        <w:t>HELP - a barrier or question needs support; request a private check-in.</w:t>
      </w:r>
    </w:p>
    <w:p>
      <w:pPr>
        <w:pStyle w:val="ListBullet"/>
      </w:pPr>
      <w:r>
        <w:t>N/A - does not apply after the requirement is checked.</w:t>
      </w:r>
    </w:p>
    <w:p>
      <w:pPr>
        <w:pStyle w:val="Heading2"/>
      </w:pPr>
      <w:r>
        <w:t>How families can help</w:t>
      </w:r>
    </w:p>
    <w:p>
      <w:pPr>
        <w:pStyle w:val="ListBullet"/>
      </w:pPr>
      <w:r>
        <w:t>Ask the student to explain the first-choice route and the backup route in their own words.</w:t>
      </w:r>
    </w:p>
    <w:p>
      <w:pPr>
        <w:pStyle w:val="ListBullet"/>
      </w:pPr>
      <w:r>
        <w:t>Review the highest-priority unfinished item and help identify who actually makes the decision.</w:t>
      </w:r>
    </w:p>
    <w:p>
      <w:pPr>
        <w:pStyle w:val="ListBullet"/>
      </w:pPr>
      <w:r>
        <w:t>Put due dates and separate follow-up dates on a shared calendar when the student agrees.</w:t>
      </w:r>
    </w:p>
    <w:p>
      <w:pPr>
        <w:pStyle w:val="ListBullet"/>
      </w:pPr>
      <w:r>
        <w:t>Help the student prepare questions, compare written terms or costs, and contact qualified staff for high-stakes decisions.</w:t>
      </w:r>
    </w:p>
    <w:p>
      <w:pPr>
        <w:pStyle w:val="ListBullet"/>
      </w:pPr>
      <w:r>
        <w:t>Keep private records in the school's approved secure process - not in email, a public post, or an AI tool.</w:t>
      </w:r>
    </w:p>
    <w:p>
      <w:r>
        <w:t>Students will complete the tracker during [class/advisory/counseling setting] by [date]. For help or a private check-in, contact [name/role] at [phone/email/appointment link]. The school-approved secure submission process is [process].</w:t>
      </w:r>
    </w:p>
    <w:p>
      <w:pPr>
        <w:keepLines/>
        <w:spacing w:before="120" w:after="160"/>
        <w:ind w:left="115"/>
        <w:shd w:fill="E8EEF5"/>
        <w:pBdr>
          <w:left w:val="single" w:sz="18" w:space="8" w:color="FF6720"/>
        </w:pBdr>
      </w:pPr>
      <w:r>
        <w:rPr>
          <w:b/>
          <w:color w:val="1D4289"/>
        </w:rPr>
        <w:t xml:space="preserve">AI HELP AND LIMITS  </w:t>
      </w:r>
      <w:r>
        <w:t>The Launch AI model can explain a checklist item, point to approved resources, break a missing item into smaller steps, and help draft questions. It does not decide admission, eligibility, aid, enlistment, hiring, or accommodations. Do not enter passwords, Social Security numbers, FSA IDs, immigration records, medical/disability records, or other private information; verify final requirements with the person or office that makes the decision.</w:t>
      </w:r>
    </w:p>
    <w:p>
      <w:r>
        <w:t>With support,</w:t>
        <w:br/>
        <w:t>[School counseling or student services team]</w:t>
        <w:br/>
        <w:t>[School name]</w:t>
      </w:r>
    </w:p>
    <w:p>
      <w:pPr>
        <w:pStyle w:val="Heading2"/>
      </w:pPr>
      <w:r>
        <w:t>School customization fields</w:t>
      </w:r>
    </w:p>
    <w:tbl>
      <w:tblPr>
        <w:tblStyle w:val="TableGrid"/>
        <w:tblW w:type="dxa" w:w="9360"/>
        <w:jc w:val="left"/>
        <w:tblLayout w:type="fixed"/>
        <w:tblLook w:firstColumn="1" w:firstRow="1" w:lastColumn="0" w:lastRow="0" w:noHBand="0" w:noVBand="1" w:val="04A0"/>
        <w:tblInd w:w="0" w:type="dxa"/>
      </w:tblPr>
      <w:tblGrid>
        <w:gridCol w:w="3000"/>
        <w:gridCol w:w="6360"/>
      </w:tblGrid>
      <w:tr>
        <w:trPr>
          <w:tblHeader w:val="true"/>
        </w:trPr>
        <w:tc>
          <w:tcPr>
            <w:tcW w:type="dxa" w:w="300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Field</w:t>
            </w:r>
          </w:p>
        </w:tc>
        <w:tc>
          <w:tcPr>
            <w:tcW w:type="dxa" w:w="6360"/>
            <w:shd w:fill="1D4289"/>
            <w:tcMar>
              <w:top w:w="80" w:type="dxa"/>
              <w:start w:w="120" w:type="dxa"/>
              <w:bottom w:w="80" w:type="dxa"/>
              <w:end w:w="120" w:type="dxa"/>
            </w:tcMar>
            <w:vAlign w:val="center"/>
          </w:tcPr>
          <w:p>
            <w:pPr>
              <w:spacing w:before="0" w:after="40" w:line="259" w:lineRule="auto"/>
            </w:pPr>
            <w:r>
              <w:rPr>
                <w:rFonts w:ascii="Arial" w:hAnsi="Arial"/>
                <w:b/>
                <w:color w:val="FFFFFF"/>
                <w:sz w:val="19"/>
              </w:rPr>
              <w:t>Local entry</w:t>
            </w:r>
          </w:p>
        </w:tc>
      </w:tr>
      <w:tr>
        <w:trPr>
          <w:cantSplit w:val="true"/>
        </w:trPr>
        <w:tc>
          <w:tcPr>
            <w:tcW w:type="dxa" w:w="30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Campaign 49 lead</w:t>
            </w:r>
          </w:p>
        </w:tc>
        <w:tc>
          <w:tcPr>
            <w:tcW w:type="dxa" w:w="63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____________________________________________________________</w:t>
            </w:r>
          </w:p>
        </w:tc>
      </w:tr>
      <w:tr>
        <w:trPr>
          <w:cantSplit w:val="true"/>
        </w:trPr>
        <w:tc>
          <w:tcPr>
            <w:tcW w:type="dxa" w:w="3000"/>
            <w:tcMar>
              <w:top w:w="80" w:type="dxa"/>
              <w:start w:w="120" w:type="dxa"/>
              <w:bottom w:w="80" w:type="dxa"/>
              <w:end w:w="120" w:type="dxa"/>
            </w:tcMar>
            <w:vAlign w:val="center"/>
          </w:tcPr>
          <w:p>
            <w:pPr>
              <w:spacing w:before="0" w:after="40" w:line="259" w:lineRule="auto"/>
            </w:pPr>
            <w:r>
              <w:rPr>
                <w:rFonts w:ascii="Arial" w:hAnsi="Arial"/>
                <w:color w:val="1F2937"/>
                <w:sz w:val="19"/>
              </w:rPr>
              <w:t>Student completion date</w:t>
            </w:r>
          </w:p>
        </w:tc>
        <w:tc>
          <w:tcPr>
            <w:tcW w:type="dxa" w:w="6360"/>
            <w:tcMar>
              <w:top w:w="80" w:type="dxa"/>
              <w:start w:w="120" w:type="dxa"/>
              <w:bottom w:w="80" w:type="dxa"/>
              <w:end w:w="120" w:type="dxa"/>
            </w:tcMar>
            <w:vAlign w:val="center"/>
          </w:tcPr>
          <w:p>
            <w:pPr>
              <w:spacing w:before="0" w:after="40" w:line="259" w:lineRule="auto"/>
            </w:pPr>
            <w:r>
              <w:rPr>
                <w:rFonts w:ascii="Arial" w:hAnsi="Arial"/>
                <w:color w:val="1F2937"/>
                <w:sz w:val="19"/>
              </w:rPr>
              <w:t>____________________________________________________________</w:t>
            </w:r>
          </w:p>
        </w:tc>
      </w:tr>
      <w:tr>
        <w:trPr>
          <w:cantSplit w:val="true"/>
        </w:trPr>
        <w:tc>
          <w:tcPr>
            <w:tcW w:type="dxa" w:w="30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Private-help process</w:t>
            </w:r>
          </w:p>
        </w:tc>
        <w:tc>
          <w:tcPr>
            <w:tcW w:type="dxa" w:w="63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____________________________________________________________</w:t>
            </w:r>
          </w:p>
        </w:tc>
      </w:tr>
      <w:tr>
        <w:trPr>
          <w:cantSplit w:val="true"/>
        </w:trPr>
        <w:tc>
          <w:tcPr>
            <w:tcW w:type="dxa" w:w="3000"/>
            <w:tcMar>
              <w:top w:w="80" w:type="dxa"/>
              <w:start w:w="120" w:type="dxa"/>
              <w:bottom w:w="80" w:type="dxa"/>
              <w:end w:w="120" w:type="dxa"/>
            </w:tcMar>
            <w:vAlign w:val="center"/>
          </w:tcPr>
          <w:p>
            <w:pPr>
              <w:spacing w:before="0" w:after="40" w:line="259" w:lineRule="auto"/>
            </w:pPr>
            <w:r>
              <w:rPr>
                <w:rFonts w:ascii="Arial" w:hAnsi="Arial"/>
                <w:color w:val="1F2937"/>
                <w:sz w:val="19"/>
              </w:rPr>
              <w:t>Secure tracker/evidence location</w:t>
            </w:r>
          </w:p>
        </w:tc>
        <w:tc>
          <w:tcPr>
            <w:tcW w:type="dxa" w:w="6360"/>
            <w:tcMar>
              <w:top w:w="80" w:type="dxa"/>
              <w:start w:w="120" w:type="dxa"/>
              <w:bottom w:w="80" w:type="dxa"/>
              <w:end w:w="120" w:type="dxa"/>
            </w:tcMar>
            <w:vAlign w:val="center"/>
          </w:tcPr>
          <w:p>
            <w:pPr>
              <w:spacing w:before="0" w:after="40" w:line="259" w:lineRule="auto"/>
            </w:pPr>
            <w:r>
              <w:rPr>
                <w:rFonts w:ascii="Arial" w:hAnsi="Arial"/>
                <w:color w:val="1F2937"/>
                <w:sz w:val="19"/>
              </w:rPr>
              <w:t>____________________________________________________________</w:t>
            </w:r>
          </w:p>
        </w:tc>
      </w:tr>
      <w:tr>
        <w:trPr>
          <w:cantSplit w:val="true"/>
        </w:trPr>
        <w:tc>
          <w:tcPr>
            <w:tcW w:type="dxa" w:w="300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Family meeting or response window</w:t>
            </w:r>
          </w:p>
        </w:tc>
        <w:tc>
          <w:tcPr>
            <w:tcW w:type="dxa" w:w="6360"/>
            <w:shd w:fill="F8FAFC"/>
            <w:tcMar>
              <w:top w:w="80" w:type="dxa"/>
              <w:start w:w="120" w:type="dxa"/>
              <w:bottom w:w="80" w:type="dxa"/>
              <w:end w:w="120" w:type="dxa"/>
            </w:tcMar>
            <w:vAlign w:val="center"/>
          </w:tcPr>
          <w:p>
            <w:pPr>
              <w:spacing w:before="0" w:after="40" w:line="259" w:lineRule="auto"/>
            </w:pPr>
            <w:r>
              <w:rPr>
                <w:rFonts w:ascii="Arial" w:hAnsi="Arial"/>
                <w:color w:val="1F2937"/>
                <w:sz w:val="19"/>
              </w:rPr>
              <w:t>____________________________________________________________</w:t>
            </w:r>
          </w:p>
        </w:tc>
      </w:tr>
    </w:tbl>
    <w:p>
      <w:pPr>
        <w:spacing w:after="0"/>
      </w:pPr>
    </w:p>
    <w:p>
      <w:pPr>
        <w:pStyle w:val="Heading2"/>
      </w:pPr>
      <w:r>
        <w:t>Sources and verification</w:t>
      </w:r>
    </w:p>
    <w:p>
      <w:pPr>
        <w:spacing w:after="80"/>
      </w:pPr>
      <w:r>
        <w:t>Source list reviewed August 23, 2026. Confirm changing dates, costs, eligibility, documents, and local procedures with the school, program, employer, military office, agency, or other organization that makes the decision.</w:t>
      </w:r>
    </w:p>
    <w:p>
      <w:pPr>
        <w:pStyle w:val="ListBullet"/>
      </w:pPr>
      <w:hyperlink r:id="rId10">
        <w:r>
          <w:rPr>
            <w:rFonts w:ascii="Arial" w:hAnsi="Arial"/>
            <w:color w:val="1D4289"/>
            <w:u w:val="single"/>
          </w:rPr>
          <w:t>Delaware Student Success - Launch pathway hub</w:t>
        </w:r>
      </w:hyperlink>
    </w:p>
    <w:sectPr>
      <w:headerReference r:id="rId11" w:type="default"/>
      <w:footerReference r:id="rId12"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49 Postsecondary Readiness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LAUNCH INTO YOUR FUTURE  |  SCHOOL COMMUNICATION TEMPLATE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pPr>
      <w:spacing w:before="0" w:after="120" w:line="300" w:lineRule="auto"/>
    </w:pPr>
    <w:rPr>
      <w:rFonts w:ascii="Arial" w:hAnsi="Arial"/>
      <w:color w:val="1F2937"/>
      <w:sz w:val="22"/>
    </w:rPr>
  </w:style>
  <w:style w:type="paragraph" w:styleId="Heading1">
    <w:name w:val="heading 1"/>
    <w:basedOn w:val="Normal"/>
    <w:next w:val="Normal"/>
    <w:pPr>
      <w:keepNext/>
      <w:keepLines w:val="1"/>
      <w:spacing w:after="200" w:before="360" w:line="252" w:lineRule="auto"/>
    </w:pPr>
    <w:rPr>
      <w:rFonts w:ascii="Arial" w:cs="Arial" w:eastAsia="Arial" w:hAnsi="Arial"/>
      <w:b/>
      <w:bCs w:val="1"/>
      <w:color w:val="1D4289"/>
      <w:sz w:val="32"/>
      <w:szCs w:val="30"/>
    </w:rPr>
  </w:style>
  <w:style w:type="paragraph" w:styleId="Heading2">
    <w:name w:val="heading 2"/>
    <w:basedOn w:val="Normal"/>
    <w:next w:val="Normal"/>
    <w:pPr>
      <w:keepNext/>
      <w:keepLines w:val="1"/>
      <w:spacing w:after="140" w:before="280" w:line="252" w:lineRule="auto"/>
    </w:pPr>
    <w:rPr>
      <w:rFonts w:ascii="Arial" w:cs="Arial" w:eastAsia="Arial" w:hAnsi="Arial"/>
      <w:b/>
      <w:bCs w:val="1"/>
      <w:color w:val="1D4289"/>
      <w:sz w:val="26"/>
      <w:szCs w:val="24"/>
    </w:rPr>
  </w:style>
  <w:style w:type="paragraph" w:styleId="Heading3">
    <w:name w:val="heading 3"/>
    <w:basedOn w:val="Normal"/>
    <w:next w:val="Normal"/>
    <w:pPr>
      <w:keepNext/>
      <w:keepLines w:val="1"/>
      <w:spacing w:after="100" w:before="200" w:line="252" w:lineRule="auto"/>
    </w:pPr>
    <w:rPr>
      <w:rFonts w:ascii="Arial" w:cs="Arial" w:eastAsia="Arial" w:hAnsi="Arial"/>
      <w:b/>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100" w:before="0" w:line="240" w:lineRule="auto"/>
    </w:pPr>
    <w:rPr>
      <w:rFonts w:ascii="Arial" w:cs="Arial" w:eastAsia="Arial" w:hAnsi="Arial"/>
      <w:b/>
      <w:bCs w:val="1"/>
      <w:color w:val="1D4289"/>
      <w:sz w:val="50"/>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spacing w:after="80" w:line="300" w:lineRule="auto"/>
      <w:ind w:left="540" w:hanging="271"/>
      <w:contextualSpacing w:val="1"/>
    </w:pPr>
    <w:rPr>
      <w:rFonts w:ascii="Arial" w:hAnsi="Arial"/>
      <w:sz w:val="22"/>
    </w:r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spacing w:after="80" w:line="300" w:lineRule="auto"/>
      <w:ind w:left="540" w:hanging="271"/>
      <w:contextualSpacing w:val="1"/>
    </w:pPr>
    <w:rPr>
      <w:rFonts w:ascii="Arial" w:hAnsi="Arial"/>
      <w:sz w:val="22"/>
    </w:r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240" w:before="0" w:line="259" w:lineRule="auto"/>
    </w:pPr>
    <w:rPr>
      <w:rFonts w:ascii="Arial" w:cs="Arial" w:eastAsia="Arial" w:hAnsi="Arial"/>
      <w:b w:val="0"/>
      <w:bCs w:val="0"/>
      <w:i w:val="1"/>
      <w:iCs w:val="1"/>
      <w:color w:val="4A5568"/>
      <w:sz w:val="27"/>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delawarestudentsuccess.org/launch/" TargetMode="External"/><Relationship Id="rId12" Type="http://schemas.openxmlformats.org/officeDocument/2006/relationships/footer" Target="foot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 Id="rId13" Type="http://schemas.openxmlformats.org/officeDocument/2006/relationships/hyperlink" Target="https://www.delawarestudentsuccess.org/9-10th/" TargetMode="External"/><Relationship Id="rId14" Type="http://schemas.openxmlformats.org/officeDocument/2006/relationships/hyperlink" Target="https://www.delawarestudentsuccess.org/11th/" TargetMode="External"/><Relationship Id="rId15" Type="http://schemas.openxmlformats.org/officeDocument/2006/relationships/hyperlink" Target="https://www.delawarestudentsuccess.org/12th-main/" TargetMode="External"/><Relationship Id="rId16" Type="http://schemas.openxmlformats.org/officeDocument/2006/relationships/hyperlink" Target="https://studentaid.gov/resources/prepare-for-college/checkl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KB5OydahA8MqB6+UPau2w/uQfA==">CgMxLjA4AHIhMVZEM0pldWM3ejNTWEIybkowSFVGU3Z3dXNiU3YyTjF2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dc:title>49 Postsecondary Readiness Checklist - School Communication Template</dc:title>
  <dc:subject>Launch Into Your Future postsecondary readiness, evidence, and transition handoff</dc:subject>
  <cp:keywords>Launch Into Your Future; postsecondary readiness; grade 12; Student Success Plan; Delaware</cp:keywords>
</cp:coreProperties>
</file>