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Pr>
          <w:rFonts w:ascii="Arial" w:hAnsi="Arial"/>
          <w:b/>
          <w:color w:val="FF6720"/>
          <w:sz w:val="18"/>
        </w:rPr>
        <w:t>CAMPAIGN KIT 49  |  STUDENT PLANNING AND TRANSITION TOOL</w:t>
      </w:r>
    </w:p>
    <w:p w:rsidR="00000000" w:rsidDel="00000000" w:rsidP="00000000" w:rsidRDefault="00000000" w:rsidRPr="00000000" w14:paraId="00000003">
      <w:pPr>
        <w:pStyle w:val="Title"/>
        <w:rPr/>
      </w:pPr>
      <w:r>
        <w:t>Postsecondary Readiness Checklist</w:t>
      </w:r>
    </w:p>
    <w:p w:rsidR="00000000" w:rsidDel="00000000" w:rsidP="00000000" w:rsidRDefault="00000000" w:rsidRPr="00000000" w14:paraId="00000004">
      <w:pPr>
        <w:pStyle w:val="Subtitle"/>
        <w:pBdr>
          <w:bottom w:color="00b0b9" w:space="5" w:sz="16" w:val="single"/>
        </w:pBdr>
        <w:rPr/>
      </w:pPr>
      <w:r>
        <w:t>Principal Communication Template</w:t>
      </w:r>
    </w:p>
    <w:p w:rsidR="00000000" w:rsidDel="00000000" w:rsidP="00000000" w:rsidRDefault="00000000" w:rsidRPr="00000000" w14:paraId="00000005">
      <w:pPr>
        <w:keepLines w:val="1"/>
        <w:pBdr>
          <w:left w:color="FF6720" w:space="8" w:sz="18" w:val="single"/>
        </w:pBdr>
        <w:shd w:fill="FFF2E8" w:val="clear"/>
        <w:spacing w:after="180" w:before="80" w:line="283" w:lineRule="auto"/>
        <w:ind w:left="173" w:right="115" w:firstLine="0"/>
        <w:rPr/>
      </w:pPr>
      <w:r>
        <w:t>USE NOTE Customize the bracketed implementation details. Position Campaign 49 as a grade-12 readiness, evidence, and transition-handoff tool, with an optional late-grade-11 preview.</w:t>
      </w:r>
    </w:p>
    <w:p>
      <w:r>
        <w:rPr>
          <w:b/>
        </w:rPr>
        <w:t xml:space="preserve">Subject: </w:t>
      </w:r>
      <w:r>
        <w:t>Staff implementation request - Launch Into Your Future Campaign 49 Postsecondary Readiness Checklist</w:t>
      </w:r>
    </w:p>
    <w:p>
      <w:r>
        <w:rPr>
          <w:b/>
        </w:rPr>
        <w:t xml:space="preserve">To: </w:t>
      </w:r>
      <w:r>
        <w:t>Counseling, student services, advisory, special education, multilingual learner, career and technical education, family engagement, and school leadership teams</w:t>
      </w:r>
    </w:p>
    <w:p>
      <w:pPr>
        <w:pStyle w:val="Heading1"/>
      </w:pPr>
      <w:r>
        <w:t>Message</w:t>
      </w:r>
    </w:p>
    <w:p>
      <w:r>
        <w:t>Colleagues,</w:t>
      </w:r>
    </w:p>
    <w:p>
      <w:r>
        <w:t>Campaign 49 is the next step after the grades 9-12 planning timeline. Campaign 48 helped students identify grade-appropriate milestones. Campaign 49 is designed mainly for grade 12 and converts the student's plan into a readiness record: universal and route-specific checks, evidence, task status, action owner, due date, follow-up date, and a transition handoff in the Student Success Plan.</w:t>
      </w:r>
    </w:p>
    <w:p>
      <w:r>
        <w:t>Please do not use the checklist as a pass/fail definition of a 'ready student.' Not started, waiting, and help-needed statuses are routing information. They should trigger a next action, warm referral, or follow-up - not a negative label or lower grade. Requirements must still be verified with the college, training provider, apprenticeship sponsor, employer, military office, agency, or other organization that owns the decision.</w:t>
      </w:r>
    </w:p>
    <w:p>
      <w:pPr>
        <w:pStyle w:val="Heading2"/>
      </w:pPr>
      <w:r>
        <w:t>Implementation requests</w:t>
      </w:r>
    </w:p>
    <w:p>
      <w:pPr>
        <w:pStyle w:val="ListBullet"/>
      </w:pPr>
      <w:r>
        <w:t>Name one Campaign 49 lead and one backup contact: [names/roles].</w:t>
      </w:r>
    </w:p>
    <w:p>
      <w:pPr>
        <w:pStyle w:val="ListBullet"/>
      </w:pPr>
      <w:r>
        <w:t>Use a brief late-grade-11 preview during [setting/date] and the full tracker with grade 12 students during [settings/dates].</w:t>
      </w:r>
    </w:p>
    <w:p>
      <w:pPr>
        <w:pStyle w:val="ListBullet"/>
      </w:pPr>
      <w:r>
        <w:t>Identify the secure location for trackers/evidence labels and the process for updating the SSP: [location/process].</w:t>
      </w:r>
    </w:p>
    <w:p>
      <w:pPr>
        <w:pStyle w:val="ListBullet"/>
      </w:pPr>
      <w:r>
        <w:t>Publish a private-help pathway for disability, immigration, financial, health, housing, military-contract, family, and other sensitive questions: [contact/process].</w:t>
      </w:r>
    </w:p>
    <w:p>
      <w:pPr>
        <w:pStyle w:val="ListBullet"/>
      </w:pPr>
      <w:r>
        <w:t>Assign staff coverage for all route options, including college, technical/trade training, Registered Apprenticeship, military, direct-to-work, adult education, entrepreneurship, and still deciding/comparing: [roles].</w:t>
      </w:r>
    </w:p>
    <w:p>
      <w:pPr>
        <w:pStyle w:val="ListBullet"/>
      </w:pPr>
      <w:r>
        <w:t>Schedule review points to identify WAIT, HELP, and time-sensitive items and confirm that every referral has a named receiving person: [dates].</w:t>
      </w:r>
    </w:p>
    <w:p>
      <w:pPr>
        <w:pStyle w:val="ListBullet"/>
      </w:pPr>
      <w:r>
        <w:t>Complete a final transition handoff before graduation and record the next postsecondary contact/check-in: [deadline].</w:t>
      </w:r>
    </w:p>
    <w:p>
      <w:pPr>
        <w:pStyle w:val="Heading2"/>
      </w:pPr>
      <w:r>
        <w:t>Minimum implementation evidence</w:t>
      </w:r>
    </w:p>
    <w:tbl>
      <w:tblPr>
        <w:tblStyle w:val="TableGrid"/>
        <w:tblW w:type="dxa" w:w="9360"/>
        <w:jc w:val="left"/>
        <w:tblLayout w:type="fixed"/>
        <w:tblLook w:firstColumn="1" w:firstRow="1" w:lastColumn="0" w:lastRow="0" w:noHBand="0" w:noVBand="1" w:val="04A0"/>
        <w:tblInd w:w="0" w:type="dxa"/>
      </w:tblPr>
      <w:tblGrid>
        <w:gridCol w:w="2900"/>
        <w:gridCol w:w="6460"/>
      </w:tblGrid>
      <w:tr>
        <w:trPr>
          <w:tblHeader w:val="true"/>
        </w:trPr>
        <w:tc>
          <w:tcPr>
            <w:tcW w:type="dxa" w:w="2900"/>
            <w:shd w:fill="1D4289"/>
            <w:tcMar>
              <w:top w:w="80" w:type="dxa"/>
              <w:start w:w="120" w:type="dxa"/>
              <w:bottom w:w="80" w:type="dxa"/>
              <w:end w:w="120" w:type="dxa"/>
            </w:tcMar>
            <w:vAlign w:val="center"/>
          </w:tcPr>
          <w:p>
            <w:pPr>
              <w:spacing w:before="0" w:after="40" w:line="259" w:lineRule="auto"/>
            </w:pPr>
            <w:r>
              <w:rPr>
                <w:rFonts w:ascii="Arial" w:hAnsi="Arial"/>
                <w:b/>
                <w:color w:val="FFFFFF"/>
                <w:sz w:val="18"/>
              </w:rPr>
              <w:t>Evidence</w:t>
            </w:r>
          </w:p>
        </w:tc>
        <w:tc>
          <w:tcPr>
            <w:tcW w:type="dxa" w:w="6460"/>
            <w:shd w:fill="1D4289"/>
            <w:tcMar>
              <w:top w:w="80" w:type="dxa"/>
              <w:start w:w="120" w:type="dxa"/>
              <w:bottom w:w="80" w:type="dxa"/>
              <w:end w:w="120" w:type="dxa"/>
            </w:tcMar>
            <w:vAlign w:val="center"/>
          </w:tcPr>
          <w:p>
            <w:pPr>
              <w:spacing w:before="0" w:after="40" w:line="259" w:lineRule="auto"/>
            </w:pPr>
            <w:r>
              <w:rPr>
                <w:rFonts w:ascii="Arial" w:hAnsi="Arial"/>
                <w:b/>
                <w:color w:val="FFFFFF"/>
                <w:sz w:val="18"/>
              </w:rPr>
              <w:t>School record</w:t>
            </w:r>
          </w:p>
        </w:tc>
      </w:tr>
      <w:tr>
        <w:trPr>
          <w:cantSplit w:val="true"/>
        </w:trPr>
        <w:tc>
          <w:tcPr>
            <w:tcW w:type="dxa" w:w="290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Grade 12 participation</w:t>
            </w:r>
          </w:p>
        </w:tc>
        <w:tc>
          <w:tcPr>
            <w:tcW w:type="dxa" w:w="646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Number/percentage assigned and completed; do not publish student-level status labels</w:t>
            </w:r>
          </w:p>
        </w:tc>
      </w:tr>
      <w:tr>
        <w:trPr>
          <w:cantSplit w:val="true"/>
        </w:trPr>
        <w:tc>
          <w:tcPr>
            <w:tcW w:type="dxa" w:w="2900"/>
            <w:tcMar>
              <w:top w:w="80" w:type="dxa"/>
              <w:start w:w="120" w:type="dxa"/>
              <w:bottom w:w="80" w:type="dxa"/>
              <w:end w:w="120" w:type="dxa"/>
            </w:tcMar>
            <w:vAlign w:val="center"/>
          </w:tcPr>
          <w:p>
            <w:pPr>
              <w:spacing w:before="0" w:after="40" w:line="259" w:lineRule="auto"/>
            </w:pPr>
            <w:r>
              <w:rPr>
                <w:rFonts w:ascii="Arial" w:hAnsi="Arial"/>
                <w:color w:val="1F2937"/>
                <w:sz w:val="18"/>
              </w:rPr>
              <w:t>Action quality</w:t>
            </w:r>
          </w:p>
        </w:tc>
        <w:tc>
          <w:tcPr>
            <w:tcW w:type="dxa" w:w="6460"/>
            <w:tcMar>
              <w:top w:w="80" w:type="dxa"/>
              <w:start w:w="120" w:type="dxa"/>
              <w:bottom w:w="80" w:type="dxa"/>
              <w:end w:w="120" w:type="dxa"/>
            </w:tcMar>
            <w:vAlign w:val="center"/>
          </w:tcPr>
          <w:p>
            <w:pPr>
              <w:spacing w:before="0" w:after="40" w:line="259" w:lineRule="auto"/>
            </w:pPr>
            <w:r>
              <w:rPr>
                <w:rFonts w:ascii="Arial" w:hAnsi="Arial"/>
                <w:color w:val="1F2937"/>
                <w:sz w:val="18"/>
              </w:rPr>
              <w:t>Tracker includes status, safe evidence label, owner/helper, due date, and follow-up</w:t>
            </w:r>
          </w:p>
        </w:tc>
      </w:tr>
      <w:tr>
        <w:trPr>
          <w:cantSplit w:val="true"/>
        </w:trPr>
        <w:tc>
          <w:tcPr>
            <w:tcW w:type="dxa" w:w="290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Support response</w:t>
            </w:r>
          </w:p>
        </w:tc>
        <w:tc>
          <w:tcPr>
            <w:tcW w:type="dxa" w:w="646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WAIT/HELP items have a dated follow-up or accepted referral</w:t>
            </w:r>
          </w:p>
        </w:tc>
      </w:tr>
      <w:tr>
        <w:trPr>
          <w:cantSplit w:val="true"/>
        </w:trPr>
        <w:tc>
          <w:tcPr>
            <w:tcW w:type="dxa" w:w="2900"/>
            <w:tcMar>
              <w:top w:w="80" w:type="dxa"/>
              <w:start w:w="120" w:type="dxa"/>
              <w:bottom w:w="80" w:type="dxa"/>
              <w:end w:w="120" w:type="dxa"/>
            </w:tcMar>
            <w:vAlign w:val="center"/>
          </w:tcPr>
          <w:p>
            <w:pPr>
              <w:spacing w:before="0" w:after="40" w:line="259" w:lineRule="auto"/>
            </w:pPr>
            <w:r>
              <w:rPr>
                <w:rFonts w:ascii="Arial" w:hAnsi="Arial"/>
                <w:color w:val="1F2937"/>
                <w:sz w:val="18"/>
              </w:rPr>
              <w:t>Route equity</w:t>
            </w:r>
          </w:p>
        </w:tc>
        <w:tc>
          <w:tcPr>
            <w:tcW w:type="dxa" w:w="6460"/>
            <w:tcMar>
              <w:top w:w="80" w:type="dxa"/>
              <w:start w:w="120" w:type="dxa"/>
              <w:bottom w:w="80" w:type="dxa"/>
              <w:end w:w="120" w:type="dxa"/>
            </w:tcMar>
            <w:vAlign w:val="center"/>
          </w:tcPr>
          <w:p>
            <w:pPr>
              <w:spacing w:before="0" w:after="40" w:line="259" w:lineRule="auto"/>
            </w:pPr>
            <w:r>
              <w:rPr>
                <w:rFonts w:ascii="Arial" w:hAnsi="Arial"/>
                <w:color w:val="1F2937"/>
                <w:sz w:val="18"/>
              </w:rPr>
              <w:t>Materials and staff support are available for all eight route options</w:t>
            </w:r>
          </w:p>
        </w:tc>
      </w:tr>
      <w:tr>
        <w:trPr>
          <w:cantSplit w:val="true"/>
        </w:trPr>
        <w:tc>
          <w:tcPr>
            <w:tcW w:type="dxa" w:w="290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SSP handoff</w:t>
            </w:r>
          </w:p>
        </w:tc>
        <w:tc>
          <w:tcPr>
            <w:tcW w:type="dxa" w:w="646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Primary route, backup, remaining actions, support contact, and next check-in are saved</w:t>
            </w:r>
          </w:p>
        </w:tc>
      </w:tr>
    </w:tbl>
    <w:p>
      <w:pPr>
        <w:spacing w:after="0"/>
      </w:pPr>
    </w:p>
    <w:p>
      <w:pPr>
        <w:keepLines/>
        <w:spacing w:before="120" w:after="160"/>
        <w:ind w:left="115"/>
        <w:shd w:fill="E8EEF5"/>
        <w:pBdr>
          <w:left w:val="single" w:sz="18" w:space="8" w:color="FF6720"/>
        </w:pBdr>
      </w:pPr>
      <w:r>
        <w:rPr>
          <w:b/>
          <w:color w:val="1D4289"/>
        </w:rPr>
        <w:t xml:space="preserve">AI HELP AND LIMITS  </w:t>
      </w:r>
      <w:r>
        <w:t>The Launch AI model can explain a checklist item, point to approved resources, break a missing item into smaller steps, and help draft questions. It does not decide admission, eligibility, aid, enlistment, hiring, or accommodations. Do not enter passwords, Social Security numbers, FSA IDs, immigration records, medical/disability records, or other private information; verify final requirements with the person or office that makes the decision.</w:t>
      </w:r>
    </w:p>
    <w:p>
      <w:r>
        <w:t>Please send the local implementation plan or questions to [school lead/contact] by [date]. Thank you for helping every student leave with a usable plan, clear evidence, and a named next support.</w:t>
      </w:r>
    </w:p>
    <w:p>
      <w:r>
        <w:t>[Principal or school leader name]</w:t>
        <w:br/>
        <w:t>[School name]</w:t>
      </w:r>
    </w:p>
    <w:p>
      <w:pPr>
        <w:pStyle w:val="Heading2"/>
      </w:pPr>
      <w:r>
        <w:t>Sources and verification</w:t>
      </w:r>
    </w:p>
    <w:p>
      <w:pPr>
        <w:spacing w:after="80"/>
      </w:pPr>
      <w:r>
        <w:t>Source list reviewed August 23, 2026. Confirm changing dates, costs, eligibility, documents, and local procedures with the school, program, employer, military office, agency, or other organization that makes the decision.</w:t>
      </w:r>
    </w:p>
    <w:p>
      <w:pPr>
        <w:pStyle w:val="ListBullet"/>
      </w:pPr>
      <w:hyperlink r:id="rId10">
        <w:r>
          <w:rPr>
            <w:rFonts w:ascii="Arial" w:hAnsi="Arial"/>
            <w:color w:val="1D4289"/>
            <w:u w:val="single"/>
          </w:rPr>
          <w:t>Delaware Student Success - Launch pathway hub</w:t>
        </w:r>
      </w:hyperlink>
    </w:p>
    <w:sectPr>
      <w:headerReference r:id="rId11" w:type="default"/>
      <w:footerReference r:id="rId12"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49 Postsecondary Readiness Checklist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LAUNCH INTO YOUR FUTURE  |  PRINCIPAL COMMUNICATION TEMPLATE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pPr>
      <w:spacing w:before="0" w:after="120" w:line="300" w:lineRule="auto"/>
    </w:pPr>
    <w:rPr>
      <w:rFonts w:ascii="Arial" w:hAnsi="Arial"/>
      <w:color w:val="1F2937"/>
      <w:sz w:val="22"/>
    </w:rPr>
  </w:style>
  <w:style w:type="paragraph" w:styleId="Heading1">
    <w:name w:val="heading 1"/>
    <w:basedOn w:val="Normal"/>
    <w:next w:val="Normal"/>
    <w:pPr>
      <w:keepNext/>
      <w:keepLines w:val="1"/>
      <w:spacing w:after="200" w:before="360" w:line="252" w:lineRule="auto"/>
    </w:pPr>
    <w:rPr>
      <w:rFonts w:ascii="Arial" w:cs="Arial" w:eastAsia="Arial" w:hAnsi="Arial"/>
      <w:b/>
      <w:bCs w:val="1"/>
      <w:color w:val="1D4289"/>
      <w:sz w:val="32"/>
      <w:szCs w:val="30"/>
    </w:rPr>
  </w:style>
  <w:style w:type="paragraph" w:styleId="Heading2">
    <w:name w:val="heading 2"/>
    <w:basedOn w:val="Normal"/>
    <w:next w:val="Normal"/>
    <w:pPr>
      <w:keepNext/>
      <w:keepLines w:val="1"/>
      <w:spacing w:after="140" w:before="280" w:line="252" w:lineRule="auto"/>
    </w:pPr>
    <w:rPr>
      <w:rFonts w:ascii="Arial" w:cs="Arial" w:eastAsia="Arial" w:hAnsi="Arial"/>
      <w:b/>
      <w:bCs w:val="1"/>
      <w:color w:val="1D4289"/>
      <w:sz w:val="26"/>
      <w:szCs w:val="24"/>
    </w:rPr>
  </w:style>
  <w:style w:type="paragraph" w:styleId="Heading3">
    <w:name w:val="heading 3"/>
    <w:basedOn w:val="Normal"/>
    <w:next w:val="Normal"/>
    <w:pPr>
      <w:keepNext/>
      <w:keepLines w:val="1"/>
      <w:spacing w:after="100" w:before="200" w:line="252" w:lineRule="auto"/>
    </w:pPr>
    <w:rPr>
      <w:rFonts w:ascii="Arial" w:cs="Arial" w:eastAsia="Arial" w:hAnsi="Arial"/>
      <w:b/>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100" w:before="0" w:line="240" w:lineRule="auto"/>
    </w:pPr>
    <w:rPr>
      <w:rFonts w:ascii="Arial" w:cs="Arial" w:eastAsia="Arial" w:hAnsi="Arial"/>
      <w:b/>
      <w:bCs w:val="1"/>
      <w:color w:val="1D4289"/>
      <w:sz w:val="50"/>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spacing w:after="80" w:line="300" w:lineRule="auto"/>
      <w:ind w:left="540" w:hanging="271"/>
      <w:contextualSpacing w:val="1"/>
    </w:pPr>
    <w:rPr>
      <w:rFonts w:ascii="Arial" w:hAnsi="Arial"/>
      <w:sz w:val="22"/>
    </w:r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spacing w:after="80" w:line="300" w:lineRule="auto"/>
      <w:ind w:left="540" w:hanging="271"/>
      <w:contextualSpacing w:val="1"/>
    </w:pPr>
    <w:rPr>
      <w:rFonts w:ascii="Arial" w:hAnsi="Arial"/>
      <w:sz w:val="22"/>
    </w:r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240" w:before="0" w:line="259" w:lineRule="auto"/>
    </w:pPr>
    <w:rPr>
      <w:rFonts w:ascii="Arial" w:cs="Arial" w:eastAsia="Arial" w:hAnsi="Arial"/>
      <w:b w:val="0"/>
      <w:bCs w:val="0"/>
      <w:i w:val="1"/>
      <w:iCs w:val="1"/>
      <w:color w:val="4A5568"/>
      <w:sz w:val="27"/>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delawarestudentsuccess.org/launch/" TargetMode="External"/><Relationship Id="rId12" Type="http://schemas.openxmlformats.org/officeDocument/2006/relationships/footer" Target="footer1.xml"/><Relationship Id="rId9" Type="http://schemas.openxmlformats.org/officeDocument/2006/relationships/hyperlink" Target="https://www.delawarestudentsuccess.org/how-to-apply-to-colleg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studentaid.gov/articles/first-time-college-students/" TargetMode="External"/><Relationship Id="rId13" Type="http://schemas.openxmlformats.org/officeDocument/2006/relationships/hyperlink" Target="https://www.delawarestudentsuccess.org/9-10th/" TargetMode="External"/><Relationship Id="rId14" Type="http://schemas.openxmlformats.org/officeDocument/2006/relationships/hyperlink" Target="https://www.delawarestudentsuccess.org/11th/" TargetMode="External"/><Relationship Id="rId15" Type="http://schemas.openxmlformats.org/officeDocument/2006/relationships/hyperlink" Target="https://www.delawarestudentsuccess.org/12th-main/" TargetMode="External"/><Relationship Id="rId16" Type="http://schemas.openxmlformats.org/officeDocument/2006/relationships/hyperlink" Target="https://studentaid.gov/resources/prepare-for-college/checklis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KB5OydahA8MqB6+UPau2w/uQfA==">CgMxLjA4AHIhMVZEM0pldWM3ejNTWEIybkowSFVGU3Z3dXNiU3YyTjF2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dc:title>49 Postsecondary Readiness Checklist - Principal Communication Template</dc:title>
  <dc:subject>Launch Into Your Future postsecondary readiness, evidence, and transition handoff</dc:subject>
  <cp:keywords>Launch Into Your Future; postsecondary readiness; grade 12; Student Success Plan; Delaware</cp:keywords>
</cp:coreProperties>
</file>