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Pr>
          <w:rFonts w:ascii="Arial" w:hAnsi="Arial"/>
          <w:b/>
          <w:color w:val="FF6720"/>
          <w:sz w:val="18"/>
        </w:rPr>
        <w:t>CAMPAIGN KIT 49  |  STUDENT PLANNING AND TRANSITION TOOL</w:t>
      </w:r>
    </w:p>
    <w:p w:rsidR="00000000" w:rsidDel="00000000" w:rsidP="00000000" w:rsidRDefault="00000000" w:rsidRPr="00000000" w14:paraId="00000003">
      <w:pPr>
        <w:pStyle w:val="Title"/>
        <w:rPr/>
      </w:pPr>
      <w:r>
        <w:t>Postsecondary Readiness Checklist</w:t>
      </w:r>
    </w:p>
    <w:p w:rsidR="00000000" w:rsidDel="00000000" w:rsidP="00000000" w:rsidRDefault="00000000" w:rsidRPr="00000000" w14:paraId="00000004">
      <w:pPr>
        <w:pStyle w:val="Subtitle"/>
        <w:pBdr>
          <w:bottom w:color="00b0b9" w:space="5" w:sz="16" w:val="single"/>
        </w:pBdr>
        <w:rPr/>
      </w:pPr>
      <w:r>
        <w:t>Newsletter Language</w:t>
      </w:r>
    </w:p>
    <w:p w:rsidR="00000000" w:rsidDel="00000000" w:rsidP="00000000" w:rsidRDefault="00000000" w:rsidRPr="00000000" w14:paraId="00000005">
      <w:pPr>
        <w:pStyle w:val="Heading1"/>
        <w:spacing w:before="80" w:after="180" w:line="283" w:lineRule="auto"/>
        <w:rPr/>
        <w:shd w:fill="FFF2E8"/>
        <w:pBdr>
          <w:left w:val="single" w:sz="18" w:space="8" w:color="FF6720"/>
        </w:pBdr>
      </w:pPr>
      <w:r>
        <w:t>MESSAGE PURPOSE Help families understand that Campaign 49 is a grade-12 readiness and transition check - not a vague list, a pass/fail label, or a replacement for route-specific requirements.</w:t>
      </w:r>
    </w:p>
    <w:p>
      <w:pPr>
        <w:pStyle w:val="Heading1"/>
      </w:pPr>
      <w:r>
        <w:t>Full newsletter copy</w:t>
      </w:r>
    </w:p>
    <w:p>
      <w:pPr>
        <w:pStyle w:val="Heading2"/>
      </w:pPr>
      <w:r>
        <w:t>Launch Into Your Future: Turn the plan into a ready-to-use next step</w:t>
      </w:r>
    </w:p>
    <w:p>
      <w:r>
        <w:t>Campaign 48 helped students understand what to do across grades 9-12. Campaign 49 comes next. The Postsecondary Readiness Checklist is designed mainly for grade 12, with a short preview in late grade 11. It helps students gather proof, identify missing steps, name who can help, and create a clear handoff into life after high school.</w:t>
      </w:r>
    </w:p>
    <w:p>
      <w:r>
        <w:t>Students first review universal areas such as graduation and learning readiness, pathway experience, applications or entry steps, money, documents and account access, transportation and other logistics, support and self-advocacy, and a backup plan. Then they complete the section that matches their current route: college, technical or trade training, Registered Apprenticeship, military service, direct-to-work, adult education, entrepreneurship/self-employment, or still deciding/comparing routes.</w:t>
      </w:r>
    </w:p>
    <w:p>
      <w:r>
        <w:t>Every item receives a task status: not started, working on it, waiting on another person or office, done, help needed, or not applicable. A missing item does not mean a student is 'not ready.' It tells the student and school where follow-up or support is needed. Students also record a safe description of evidence, the action owner, a due date, and a follow-up date in the Student Success Plan or another school-approved location.</w:t>
      </w:r>
    </w:p>
    <w:p>
      <w:pPr>
        <w:pStyle w:val="Heading2"/>
      </w:pPr>
      <w:r>
        <w:t>Three family questions</w:t>
      </w:r>
    </w:p>
    <w:p>
      <w:pPr>
        <w:pStyle w:val="ListBullet"/>
      </w:pPr>
      <w:r>
        <w:t>What is your current first-choice route, and what backup are you keeping active?</w:t>
      </w:r>
    </w:p>
    <w:p>
      <w:pPr>
        <w:pStyle w:val="ListBullet"/>
      </w:pPr>
      <w:r>
        <w:t>Which item is most likely to delay your next step, and who can help with it?</w:t>
      </w:r>
    </w:p>
    <w:p>
      <w:pPr>
        <w:pStyle w:val="ListBullet"/>
      </w:pPr>
      <w:r>
        <w:t>What proof have you saved, and when will you follow up if another office does not respond?</w:t>
      </w:r>
    </w:p>
    <w:p>
      <w:r>
        <w:t>For help reviewing the tracker or arranging a private conversation, contact [school counselor/student services contact] at [contact information] by [date or meeting window]. Do not email or post private records unless the school provides an approved secure process.</w:t>
      </w:r>
    </w:p>
    <w:p>
      <w:pPr>
        <w:keepLines/>
        <w:spacing w:before="120" w:after="160"/>
        <w:ind w:left="115"/>
        <w:shd w:fill="E8EEF5"/>
        <w:pBdr>
          <w:left w:val="single" w:sz="18" w:space="8" w:color="FF6720"/>
        </w:pBdr>
      </w:pPr>
      <w:r>
        <w:rPr>
          <w:b/>
          <w:color w:val="1D4289"/>
        </w:rPr>
        <w:t xml:space="preserve">AI HELP AND LIMITS  </w:t>
      </w:r>
      <w:r>
        <w:t>The Launch AI model can explain a checklist item, point to approved resources, break a missing item into smaller steps, and help draft questions. It does not decide admission, eligibility, aid, enlistment, hiring, or accommodations. Do not enter passwords, Social Security numbers, FSA IDs, immigration records, medical/disability records, or other private information; verify final requirements with the person or office that makes the decision.</w:t>
      </w:r>
    </w:p>
    <w:p>
      <w:pPr>
        <w:pStyle w:val="Heading1"/>
      </w:pPr>
      <w:r>
        <w:t>Short version</w:t>
      </w:r>
    </w:p>
    <w:p>
      <w:r>
        <w:t>Grade 12 students are using the Launch Into Your Future Postsecondary Readiness Checklist to turn their plan into clear evidence and next steps. Students review universal readiness areas, complete the section for their chosen route, record what is done or missing, and name the owner, due date, and follow-up date. The checklist is not pass/fail: WAIT and HELP statuses connect students to support. Families can ask about the student's first-choice and backup routes, the highest-priority unfinished item, and the next check-in. Contact [school contact] for help.</w:t>
      </w:r>
    </w:p>
    <w:p>
      <w:pPr>
        <w:pStyle w:val="Heading1"/>
      </w:pPr>
      <w:r>
        <w:t>One-sentence version</w:t>
      </w:r>
    </w:p>
    <w:p>
      <w:r>
        <w:t>Campaign 49 helps grade 12 students turn their postsecondary plan into evidence, route-specific actions, support referrals, and a clear transition handoff.</w:t>
      </w:r>
    </w:p>
    <w:p>
      <w:pPr>
        <w:pStyle w:val="Heading2"/>
      </w:pPr>
      <w:r>
        <w:t>Sources and verification</w:t>
      </w:r>
    </w:p>
    <w:p>
      <w:pPr>
        <w:spacing w:after="80"/>
      </w:pPr>
      <w:r>
        <w:t>Source list reviewed August 23, 2026. Confirm changing dates, costs, eligibility, documents, and local procedures with the school, program, employer, military office, agency, or other organization that makes the decision.</w:t>
      </w:r>
    </w:p>
    <w:p>
      <w:pPr>
        <w:pStyle w:val="ListBullet"/>
      </w:pPr>
      <w:hyperlink r:id="rId10">
        <w:r>
          <w:rPr>
            <w:rFonts w:ascii="Arial" w:hAnsi="Arial"/>
            <w:color w:val="1D4289"/>
            <w:u w:val="single"/>
          </w:rPr>
          <w:t>Delaware Student Success - Launch pathway hub</w:t>
        </w:r>
      </w:hyperlink>
    </w:p>
    <w:sectPr>
      <w:headerReference r:id="rId11" w:type="default"/>
      <w:footerReference r:id="rId12" w:type="default"/>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49 Postsecondary Readiness Checklist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pPr>
      <w:spacing w:before="0" w:after="120" w:line="300" w:lineRule="auto"/>
    </w:pPr>
    <w:rPr>
      <w:rFonts w:ascii="Arial" w:hAnsi="Arial"/>
      <w:color w:val="1F2937"/>
      <w:sz w:val="22"/>
    </w:rPr>
  </w:style>
  <w:style w:type="paragraph" w:styleId="Heading1">
    <w:name w:val="heading 1"/>
    <w:basedOn w:val="Normal"/>
    <w:next w:val="Normal"/>
    <w:pPr>
      <w:keepNext/>
      <w:keepLines w:val="1"/>
      <w:spacing w:after="200" w:before="360" w:line="252" w:lineRule="auto"/>
    </w:pPr>
    <w:rPr>
      <w:rFonts w:ascii="Arial" w:cs="Arial" w:eastAsia="Arial" w:hAnsi="Arial"/>
      <w:b/>
      <w:bCs w:val="1"/>
      <w:color w:val="1D4289"/>
      <w:sz w:val="32"/>
      <w:szCs w:val="30"/>
    </w:rPr>
  </w:style>
  <w:style w:type="paragraph" w:styleId="Heading2">
    <w:name w:val="heading 2"/>
    <w:basedOn w:val="Normal"/>
    <w:next w:val="Normal"/>
    <w:pPr>
      <w:keepNext/>
      <w:keepLines w:val="1"/>
      <w:spacing w:after="140" w:before="280" w:line="252" w:lineRule="auto"/>
    </w:pPr>
    <w:rPr>
      <w:rFonts w:ascii="Arial" w:cs="Arial" w:eastAsia="Arial" w:hAnsi="Arial"/>
      <w:b/>
      <w:bCs w:val="1"/>
      <w:color w:val="1D4289"/>
      <w:sz w:val="26"/>
      <w:szCs w:val="24"/>
    </w:rPr>
  </w:style>
  <w:style w:type="paragraph" w:styleId="Heading3">
    <w:name w:val="heading 3"/>
    <w:basedOn w:val="Normal"/>
    <w:next w:val="Normal"/>
    <w:pPr>
      <w:keepNext/>
      <w:keepLines w:val="1"/>
      <w:spacing w:after="100" w:before="200" w:line="252" w:lineRule="auto"/>
    </w:pPr>
    <w:rPr>
      <w:rFonts w:ascii="Arial" w:cs="Arial" w:eastAsia="Arial" w:hAnsi="Arial"/>
      <w:b/>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100" w:before="0" w:line="240" w:lineRule="auto"/>
    </w:pPr>
    <w:rPr>
      <w:rFonts w:ascii="Arial" w:cs="Arial" w:eastAsia="Arial" w:hAnsi="Arial"/>
      <w:b/>
      <w:bCs w:val="1"/>
      <w:color w:val="1D4289"/>
      <w:sz w:val="50"/>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spacing w:after="80" w:line="300" w:lineRule="auto"/>
      <w:ind w:left="540" w:hanging="271"/>
      <w:contextualSpacing w:val="1"/>
    </w:pPr>
    <w:rPr>
      <w:rFonts w:ascii="Arial" w:hAnsi="Arial"/>
      <w:sz w:val="22"/>
    </w:r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spacing w:after="80" w:line="300" w:lineRule="auto"/>
      <w:ind w:left="540" w:hanging="271"/>
      <w:contextualSpacing w:val="1"/>
    </w:pPr>
    <w:rPr>
      <w:rFonts w:ascii="Arial" w:hAnsi="Arial"/>
      <w:sz w:val="22"/>
    </w:r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240" w:before="0" w:line="259" w:lineRule="auto"/>
    </w:pPr>
    <w:rPr>
      <w:rFonts w:ascii="Arial" w:cs="Arial" w:eastAsia="Arial" w:hAnsi="Arial"/>
      <w:b w:val="0"/>
      <w:bCs w:val="0"/>
      <w:i w:val="1"/>
      <w:iCs w:val="1"/>
      <w:color w:val="4A5568"/>
      <w:sz w:val="27"/>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delawarestudentsuccess.org/launch/" TargetMode="External"/><Relationship Id="rId12" Type="http://schemas.openxmlformats.org/officeDocument/2006/relationships/footer" Target="footer1.xml"/><Relationship Id="rId9" Type="http://schemas.openxmlformats.org/officeDocument/2006/relationships/hyperlink" Target="https://www.delawarestudentsuccess.org/how-to-apply-to-colleg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studentaid.gov/articles/first-time-college-students/" TargetMode="External"/><Relationship Id="rId13" Type="http://schemas.openxmlformats.org/officeDocument/2006/relationships/hyperlink" Target="https://www.delawarestudentsuccess.org/9-10th/" TargetMode="External"/><Relationship Id="rId14" Type="http://schemas.openxmlformats.org/officeDocument/2006/relationships/hyperlink" Target="https://www.delawarestudentsuccess.org/11th/" TargetMode="External"/><Relationship Id="rId15" Type="http://schemas.openxmlformats.org/officeDocument/2006/relationships/hyperlink" Target="https://www.delawarestudentsuccess.org/12th-main/" TargetMode="External"/><Relationship Id="rId16" Type="http://schemas.openxmlformats.org/officeDocument/2006/relationships/hyperlink" Target="https://studentaid.gov/resources/prepare-for-college/checklis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RSXUGms/pFMTBT4kBoCnnzQteQ==">CgMxLjA4AHIhMWdpc1FidGItY3FQbV82RnQ4NEM5dm9CdlNDNExlcVRr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dc:title>49 Postsecondary Readiness Checklist - Newsletter Language</dc:title>
  <dc:subject>Launch Into Your Future postsecondary readiness, evidence, and transition handoff</dc:subject>
  <cp:keywords>Launch Into Your Future; postsecondary readiness; grade 12; Student Success Plan; Delaware</cp:keywords>
</cp:coreProperties>
</file>