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47  |  SUPPORT SERVICE</w:t>
      </w:r>
    </w:p>
    <w:p w:rsidR="00000000" w:rsidDel="00000000" w:rsidP="00000000" w:rsidRDefault="00000000" w:rsidRPr="00000000" w14:paraId="00000003">
      <w:pPr>
        <w:pStyle w:val="Title"/>
        <w:rPr/>
      </w:pPr>
      <w:r w:rsidDel="00000000" w:rsidR="00000000" w:rsidRPr="00000000">
        <w:rPr>
          <w:rtl w:val="0"/>
        </w:rPr>
        <w:t xml:space="preserve">Postsecondary Decision-Making Resources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Postsecondary Decision-Making Resources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strong postsecondary decision compares the student's goal, access, affordability, support, logistics, and likely next steps while making tradeoffs visible.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postsecondary decision-making resources,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outcome the student wants and the criteria that matter most.</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Collect comparable evidence about access, cost, support, logistics, and next-step value.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Record the strongest match, biggest tradeoff, and unanswered question for each option.</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47 Postsecondary Decision-Making Resources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nces.ed.gov/collegenaviga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x2d/tz/QipocwxHeEaIMPH5gyA==">CgMxLjA4AHIhMURRcUszczA1NWNTZUc5YVlsclZwQ3BTNnc4ams4T2Zy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