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45  |  SUPPORT SERVICE</w:t>
      </w:r>
    </w:p>
    <w:p w:rsidR="00000000" w:rsidDel="00000000" w:rsidP="00000000" w:rsidRDefault="00000000" w:rsidRPr="00000000" w14:paraId="00000003">
      <w:pPr>
        <w:pStyle w:val="Title"/>
        <w:rPr/>
      </w:pPr>
      <w:r w:rsidDel="00000000" w:rsidR="00000000" w:rsidRPr="00000000">
        <w:rPr>
          <w:rtl w:val="0"/>
        </w:rPr>
        <w:t xml:space="preserve">Opportunity Youth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Opportunity Youth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Opportunity Youth Supports is designed to help students move from general awareness to one verified next step. Young people who are disconnected from school or work can reconnect through education, WIOA youth services, training, employment, and supportive services; the first step is a confidential eligibility conversation.</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45 Opportunity Youth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adult-education/" TargetMode="External"/><Relationship Id="rId12" Type="http://schemas.openxmlformats.org/officeDocument/2006/relationships/footer" Target="footer1.xml"/><Relationship Id="rId9" Type="http://schemas.openxmlformats.org/officeDocument/2006/relationships/hyperlink" Target="https://labor.delaware.gov/wdb/jobseek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DEoEn73EvobOlmhajN3D+23ZQ==">CgMxLjA4AHIhMTRpeG5KYXJMVUJseWtkX0hMU3E4SEdib3h1QWItcUp3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