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40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Foster Youth College Supports</w:t>
      </w:r>
    </w:p>
    <w:p w:rsidR="00000000" w:rsidDel="00000000" w:rsidP="00000000" w:rsidRDefault="00000000" w:rsidRPr="00000000" w14:paraId="00000004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Students who experienced foster care may qualify for Delaware tuition, voucher, scholarship, and transition supports, but each program has its own eligibility and documentation process.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Use this guide to help a student turn interest in foster youth college supports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7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Protect privacy and let the student control disclosure when possible.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Make a warm handoff to the official foster-youth or independent-living contact.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Separate eligibility for each funding program.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for housing and basic needs across academic breaks.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Track deadlines without storing unnecessary sensitive information.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 offers an in-state public-college fostering independence tuition waiver for eligible students.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Education and Training Vouchers may help with costs of postsecondary education or training for eligible youth.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connect early with their caseworker, independent-living contact, financial-aid office, and campus support contact.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 waiver amount, housing, or funding.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ask a student to disclose foster-care history publicly.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Kids.Delaware: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Kids.Delaware: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Courts.Delaware: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40 Foster Youth College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education.delaware.gov/educators/whole-child-support/family-services/fostercare/" TargetMode="External"/><Relationship Id="rId10" Type="http://schemas.openxmlformats.org/officeDocument/2006/relationships/hyperlink" Target="https://courts.delaware.gov/childadvocate/scholarship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kids.delaware.gov/family-services/independent-liv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kids.delaware.gov/family-services/foster-care-tuition-waiver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aPJUrlwpxEKT03PorArIUC8xvQ==">CgMxLjA4AHIhMUNOZU5HMENxNS1nb05lV1JxbE5KYUpWVy1ya1NFbW50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