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37  |  SUPPORT SERVICE</w:t>
      </w:r>
    </w:p>
    <w:p w:rsidR="00000000" w:rsidDel="00000000" w:rsidP="00000000" w:rsidRDefault="00000000" w:rsidRPr="00000000" w14:paraId="00000003">
      <w:pPr>
        <w:pStyle w:val="Title"/>
        <w:rPr/>
      </w:pPr>
      <w:r w:rsidDel="00000000" w:rsidR="00000000" w:rsidRPr="00000000">
        <w:rPr>
          <w:rtl w:val="0"/>
        </w:rPr>
        <w:t xml:space="preserve">Financial Aid Renewal and Satisfactory Academic Progress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Financial Aid Renewal and Satisfactory Academic Progress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FAFSA and school renewal steps occur each year.</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financial aid renewal and satisfactory academic progress,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Complete the correct-year FAFSA and school renewal steps.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Read the institution's SAP policy.</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Check grades, completed credits, withdrawals, and attempted credits.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0" w:type="default"/>
      <w:footerReference r:id="rId11"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37 Financial Aid Renewal and Satisfactory Academic Progress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studentaid.gov/articles/first-time-college-studen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nancial-aid-diction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7wfguk4WqwMHlMMOVvTw4owu0w==">CgMxLjA4AHIhMUJOOGdiU2ZuREhrVFZEVXM3dGJlY0t6aFViaXJGZEVS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