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33  |  SUPPORT SERVICE</w:t>
      </w:r>
    </w:p>
    <w:p w:rsidR="00000000" w:rsidDel="00000000" w:rsidP="00000000" w:rsidRDefault="00000000" w:rsidRPr="00000000" w14:paraId="00000003">
      <w:pPr>
        <w:pStyle w:val="Title"/>
        <w:rPr/>
      </w:pPr>
      <w:r w:rsidDel="00000000" w:rsidR="00000000" w:rsidRPr="00000000">
        <w:rPr>
          <w:rtl w:val="0"/>
        </w:rPr>
        <w:t xml:space="preserve">Adult Education / GED</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Adult Education / GED</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Adult Education / GED is designed to help students move from general awareness to one verified next step. Adult Education serves eligible learners under program rules.</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33 Adult Education / GED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adult-education/multilingual-learners/" TargetMode="External"/><Relationship Id="rId12" Type="http://schemas.openxmlformats.org/officeDocument/2006/relationships/footer" Target="footer1.xml"/><Relationship Id="rId9" Type="http://schemas.openxmlformats.org/officeDocument/2006/relationships/hyperlink" Target="https://education.delaware.gov/families/college-career-life/adult-education/high-school-diploma-grov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adult-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JZjS2Gzf45BvZe+GZPHktW3QVw==">CgMxLjA4AHIhMVNBMy1FRFlyY3BCdlRNRnphX1lSZzl6YS1xME5ZTXF1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