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28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Non-Traditional Workforce Routes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Verify the provider, employer, sponsor, credential, and opening.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non-traditional workforce routes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occupation or skill.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direct work, apprenticeship, training, Adult Education, Job Corps, and employer routes.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requirements and availability.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cost, wage, schedule, transportation, and support.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credential or outcome.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Choose the next application or preparation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Start with an occupation or skill goal.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the provider, employer, sponsor, credential, and opening.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pay, cost, time, support, and next-step value.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Keep moving with a preparation route when the preferred route is unavailable.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Apprenticeship.gov: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Job Corps: Official Resource</w:t>
        </w:r>
      </w:hyperlink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28 Non-Traditional Workforce Routes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apprenticeship.gov/career-seekers" TargetMode="External"/><Relationship Id="rId10" Type="http://schemas.openxmlformats.org/officeDocument/2006/relationships/hyperlink" Target="https://joblink.delaware.gov/search/providers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jobcorps.gov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joblink.delaware.gov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adult-edu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KyXOarToLGGw6iPkzb0uyTdhAQ==">CgMxLjA4AHIhMU00eHBTZ2RHZm9fSUhFTlZTcTBkcy04S2JpUW1taTFC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