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25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Employment Readiness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Employment readiness begins with a realistic target role and evidence that matches the employer's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employment readiness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identify a realistic role and read the posting closely.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Translate school, work, service, and project experience into role-specific evidence.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application materials for accuracy, privacy, and consistency.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Practice interview examples and questions without scripting a false persona.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transportation, schedule, documentation, communication, and follow-up.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Employment readiness begins with a realistic target role and evidence that matches the employer's requirements.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complete plan includes application materials, interview practice, workplace communication, and start-day logistics.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the employer and use the employer's official application route before sharing personal information.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interview, job offer, wage, schedule, accommodation, or continued employment.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send sensitive personal information through an unverified posting or contact.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25 Employment Readiness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job_seek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yEGCXCF4MisGR5PiNBMvgOZwPQ==">CgMxLjA4AHIhMUhZdDlQSFNldzl3Yk9nbldxTndYLW84SEtiV2F2LVJM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