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25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Employment Readiness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Employment Readiness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Employment readiness begins with a realistic target role and evidence that matches the employer's requirements.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employment readiness.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Employment readiness begins with a realistic target role and evidence that matches the employer's requirements.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complete plan includes application materials, interview practice, workplace communication, and start-day logistics.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Students should verify the employer and use the employer's official application route before sharing personal information.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a realistic target role and employer requirements.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Translate school, work, service, and project experience into evidence.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Tailor the résumé and application to the specific posting.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the employer and official application route.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Practice concise answers and examples for the interview.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transportation, schedule, documents, dress, communication, and onboarding.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25 Employment Readiness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dtcc.edu/student-resources/career-services/" TargetMode="External"/><Relationship Id="rId10" Type="http://schemas.openxmlformats.org/officeDocument/2006/relationships/hyperlink" Target="https://labor.delaware.gov/divisions/employment-training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joblink.delaware.gov/job_seeke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joblink.delaware.gov/cont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BN/99pgFk0wMfEyfEjVaNZsENw==">CgMxLjA4AHIhMVEwY1lLVlJMTXVyT2lfendTbXh4TllIdzc0QjRtZzdi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