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25  |  DIRECT EMPLOYMENT</w:t>
      </w:r>
    </w:p>
    <w:p w:rsidR="00000000" w:rsidDel="00000000" w:rsidP="00000000" w:rsidRDefault="00000000" w:rsidRPr="00000000" w14:paraId="00000003">
      <w:pPr>
        <w:pStyle w:val="Title"/>
        <w:rPr/>
      </w:pPr>
      <w:r w:rsidDel="00000000" w:rsidR="00000000" w:rsidRPr="00000000">
        <w:rPr>
          <w:rtl w:val="0"/>
        </w:rPr>
        <w:t xml:space="preserve">Employment Readiness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Employment Readiness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Employment readiness begins with a realistic target role and evidence that matches the employer's requirements.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employment readiness,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a realistic target role and employer requirements.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Translate school, work, service, and project experience into evidence.</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Tailor the résumé and application to the specific posting.</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Labor: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25 Employment Readiness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dtcc.edu/student-resources/career-services/" TargetMode="External"/><Relationship Id="rId10" Type="http://schemas.openxmlformats.org/officeDocument/2006/relationships/hyperlink" Target="https://labor.delaware.gov/divisions/employment-trainin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blink.delaware.gov/job_seeke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uk8Bi52ueuv+6DAPkAjFpFh1GQ==">CgMxLjA4AHIhMVZGaVlhSFc0OC03Zk1aTWlSQm9fTVVtZ0dSYWo3TzZZ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