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140" w:lineRule="auto"/>
        <w:jc w:val="left"/>
        <w:rPr/>
      </w:pPr>
      <w:r w:rsidDel="00000000" w:rsidR="00000000" w:rsidRPr="00000000">
        <w:rPr/>
        <w:drawing>
          <wp:inline distB="0" distT="0" distL="114300" distR="114300">
            <wp:extent cx="960120" cy="457469"/>
            <wp:effectExtent b="0" l="0" r="0" t="0"/>
            <wp:docPr descr="Launch Into Your Future logo" id="2" name="image1.png"/>
            <a:graphic>
              <a:graphicData uri="http://schemas.openxmlformats.org/drawingml/2006/picture">
                <pic:pic>
                  <pic:nvPicPr>
                    <pic:cNvPr descr="Launch Into Your Future logo"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57469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ff672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ff6720"/>
          <w:sz w:val="18"/>
          <w:szCs w:val="18"/>
          <w:u w:val="none"/>
          <w:shd w:fill="auto" w:val="clear"/>
          <w:vertAlign w:val="baseline"/>
          <w:rtl w:val="0"/>
        </w:rPr>
        <w:t xml:space="preserve">CAMPAIGN KIT 15  |  COLLEGE</w:t>
      </w:r>
    </w:p>
    <w:p w:rsidR="00000000" w:rsidDel="00000000" w:rsidP="00000000" w:rsidRDefault="00000000" w:rsidRPr="00000000" w14:paraId="00000003">
      <w:pPr>
        <w:pStyle w:val="Title"/>
        <w:rPr/>
      </w:pPr>
      <w:r w:rsidDel="00000000" w:rsidR="00000000" w:rsidRPr="00000000">
        <w:rPr>
          <w:rtl w:val="0"/>
        </w:rPr>
        <w:t xml:space="preserve">Regional College Options</w:t>
      </w:r>
    </w:p>
    <w:p w:rsidR="00000000" w:rsidDel="00000000" w:rsidP="00000000" w:rsidRDefault="00000000" w:rsidRPr="00000000" w14:paraId="00000004">
      <w:pPr>
        <w:pStyle w:val="Subtitle"/>
        <w:pBdr>
          <w:bottom w:color="00b0b9" w:space="5" w:sz="16" w:val="single"/>
        </w:pBdr>
        <w:rPr/>
      </w:pPr>
      <w:r w:rsidDel="00000000" w:rsidR="00000000" w:rsidRPr="00000000">
        <w:rPr>
          <w:rtl w:val="0"/>
        </w:rPr>
        <w:t xml:space="preserve">Counselor Guide</w:t>
      </w:r>
    </w:p>
    <w:p w:rsidR="00000000" w:rsidDel="00000000" w:rsidP="00000000" w:rsidRDefault="00000000" w:rsidRPr="00000000" w14:paraId="00000005">
      <w:pPr>
        <w:keepLines w:val="1"/>
        <w:pBdr>
          <w:left w:color="1d4289" w:space="8" w:sz="22" w:val="single"/>
        </w:pBdr>
        <w:shd w:fill="e8eef8" w:val="clear"/>
        <w:spacing w:after="180" w:before="80" w:line="283" w:lineRule="auto"/>
        <w:ind w:left="173" w:right="115" w:firstLine="0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sz w:val="20"/>
          <w:szCs w:val="20"/>
          <w:rtl w:val="0"/>
        </w:rPr>
        <w:t xml:space="preserve">KEY TAKEAWAY  </w:t>
      </w:r>
      <w:r w:rsidDel="00000000" w:rsidR="00000000" w:rsidRPr="00000000">
        <w:rPr>
          <w:rFonts w:ascii="Arial" w:cs="Arial" w:eastAsia="Arial" w:hAnsi="Arial"/>
          <w:b w:val="1"/>
          <w:bCs w:val="1"/>
          <w:color w:val="1f2937"/>
          <w:sz w:val="21"/>
          <w:szCs w:val="21"/>
          <w:rtl w:val="0"/>
        </w:rPr>
        <w:t xml:space="preserve">A regional college may expand program, price, and campus options, but students must compare accreditation, total cost, travel, residency, transfer, and support services using official information.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  <w:t xml:space="preserve">Use this guide to help a student turn interest in regional college options into one verified, documented next step. Preserve local counselor judgment and confirm school- or program-specific requirements with the responsible owner.</w:t>
      </w:r>
    </w:p>
    <w:p w:rsidR="00000000" w:rsidDel="00000000" w:rsidP="00000000" w:rsidRDefault="00000000" w:rsidRPr="00000000" w14:paraId="00000007">
      <w:pPr>
        <w:pStyle w:val="Heading1"/>
        <w:rPr/>
      </w:pPr>
      <w:r w:rsidDel="00000000" w:rsidR="00000000" w:rsidRPr="00000000">
        <w:rPr>
          <w:rtl w:val="0"/>
        </w:rPr>
        <w:t xml:space="preserve">Counseling conversation</w:t>
      </w:r>
    </w:p>
    <w:p w:rsidR="00000000" w:rsidDel="00000000" w:rsidP="00000000" w:rsidRDefault="00000000" w:rsidRPr="00000000" w14:paraId="00000008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Set a realistic geographic boundary with the student.</w:t>
      </w:r>
    </w:p>
    <w:p w:rsidR="00000000" w:rsidDel="00000000" w:rsidP="00000000" w:rsidRDefault="00000000" w:rsidRPr="00000000" w14:paraId="00000009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Use comparable official data across institutions.</w:t>
      </w:r>
    </w:p>
    <w:p w:rsidR="00000000" w:rsidDel="00000000" w:rsidP="00000000" w:rsidRDefault="00000000" w:rsidRPr="00000000" w14:paraId="0000000A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Check accreditation, program approval, and net price.</w:t>
      </w:r>
    </w:p>
    <w:p w:rsidR="00000000" w:rsidDel="00000000" w:rsidP="00000000" w:rsidRDefault="00000000" w:rsidRPr="00000000" w14:paraId="0000000B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Include transportation and housing in the cost conversation.</w:t>
      </w:r>
    </w:p>
    <w:p w:rsidR="00000000" w:rsidDel="00000000" w:rsidP="00000000" w:rsidRDefault="00000000" w:rsidRPr="00000000" w14:paraId="0000000C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Verify state-specific licensure or aid requirements.</w:t>
      </w:r>
    </w:p>
    <w:p w:rsidR="00000000" w:rsidDel="00000000" w:rsidP="00000000" w:rsidRDefault="00000000" w:rsidRPr="00000000" w14:paraId="0000000D">
      <w:pPr>
        <w:pStyle w:val="Heading2"/>
        <w:rPr/>
      </w:pPr>
      <w:r w:rsidDel="00000000" w:rsidR="00000000" w:rsidRPr="00000000">
        <w:rPr>
          <w:rtl w:val="0"/>
        </w:rPr>
        <w:t xml:space="preserve">What students and families should know</w:t>
      </w:r>
    </w:p>
    <w:p w:rsidR="00000000" w:rsidDel="00000000" w:rsidP="00000000" w:rsidRDefault="00000000" w:rsidRPr="00000000" w14:paraId="0000000E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Distance from home affects transportation, housing, and emergency planning.</w:t>
      </w:r>
    </w:p>
    <w:p w:rsidR="00000000" w:rsidDel="00000000" w:rsidP="00000000" w:rsidRDefault="00000000" w:rsidRPr="00000000" w14:paraId="0000000F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Out-of-state tuition and aid rules can change the real price.</w:t>
      </w:r>
    </w:p>
    <w:p w:rsidR="00000000" w:rsidDel="00000000" w:rsidP="00000000" w:rsidRDefault="00000000" w:rsidRPr="00000000" w14:paraId="00000010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Accreditation and program approval matter for aid, transfer, and licensure.</w:t>
      </w:r>
    </w:p>
    <w:p w:rsidR="00000000" w:rsidDel="00000000" w:rsidP="00000000" w:rsidRDefault="00000000" w:rsidRPr="00000000" w14:paraId="00000011">
      <w:pPr>
        <w:pStyle w:val="Heading2"/>
        <w:rPr/>
      </w:pPr>
      <w:r w:rsidDel="00000000" w:rsidR="00000000" w:rsidRPr="00000000">
        <w:rPr>
          <w:rtl w:val="0"/>
        </w:rPr>
        <w:t xml:space="preserve">Verify before advising</w:t>
      </w:r>
    </w:p>
    <w:p w:rsidR="00000000" w:rsidDel="00000000" w:rsidP="00000000" w:rsidRDefault="00000000" w:rsidRPr="00000000" w14:paraId="00000012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Do not recommend a school from distance or sticker price alone.</w:t>
      </w:r>
    </w:p>
    <w:p w:rsidR="00000000" w:rsidDel="00000000" w:rsidP="00000000" w:rsidRDefault="00000000" w:rsidRPr="00000000" w14:paraId="00000013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Do not assume a regional institution is approved, transferable, or affordable for every student.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rtl w:val="0"/>
        </w:rPr>
        <w:t xml:space="preserve">Local flexibility: </w:t>
      </w:r>
      <w:r w:rsidDel="00000000" w:rsidR="00000000" w:rsidRPr="00000000">
        <w:rPr>
          <w:rtl w:val="0"/>
        </w:rPr>
        <w:t xml:space="preserve">Schools may sequence counseling activities differently. Confirm dates, eligibility, costs, availability, and required documents with the school, college, employer, agency, or program that owns the decision.</w:t>
      </w:r>
    </w:p>
    <w:p w:rsidR="00000000" w:rsidDel="00000000" w:rsidP="00000000" w:rsidRDefault="00000000" w:rsidRPr="00000000" w14:paraId="00000015">
      <w:pPr>
        <w:pStyle w:val="Heading2"/>
        <w:rPr/>
      </w:pPr>
      <w:r w:rsidDel="00000000" w:rsidR="00000000" w:rsidRPr="00000000">
        <w:rPr>
          <w:rtl w:val="0"/>
        </w:rPr>
        <w:t xml:space="preserve">Close the loop</w:t>
      </w:r>
    </w:p>
    <w:p w:rsidR="00000000" w:rsidDel="00000000" w:rsidP="00000000" w:rsidRDefault="00000000" w:rsidRPr="00000000" w14:paraId="00000016">
      <w:pPr>
        <w:keepLines w:val="1"/>
        <w:spacing w:after="10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rtl w:val="0"/>
        </w:rPr>
        <w:t xml:space="preserve">Student's next action: </w:t>
      </w:r>
      <w:r w:rsidDel="00000000" w:rsidR="00000000" w:rsidRPr="00000000">
        <w:rPr>
          <w:rtl w:val="0"/>
        </w:rPr>
        <w:t xml:space="preserve">Record one action, the information owner, and a completion date.</w:t>
      </w:r>
    </w:p>
    <w:p w:rsidR="00000000" w:rsidDel="00000000" w:rsidP="00000000" w:rsidRDefault="00000000" w:rsidRPr="00000000" w14:paraId="00000017">
      <w:pPr>
        <w:keepLines w:val="1"/>
        <w:spacing w:after="10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rtl w:val="0"/>
        </w:rPr>
        <w:t xml:space="preserve">Follow-up: </w:t>
      </w:r>
      <w:r w:rsidDel="00000000" w:rsidR="00000000" w:rsidRPr="00000000">
        <w:rPr>
          <w:rtl w:val="0"/>
        </w:rPr>
        <w:t xml:space="preserve">Schedule a check-back and update the plan if verified information changes.</w:t>
      </w:r>
    </w:p>
    <w:p w:rsidR="00000000" w:rsidDel="00000000" w:rsidP="00000000" w:rsidRDefault="00000000" w:rsidRPr="00000000" w14:paraId="00000018">
      <w:pPr>
        <w:pStyle w:val="Heading2"/>
        <w:rPr/>
      </w:pPr>
      <w:r w:rsidDel="00000000" w:rsidR="00000000" w:rsidRPr="00000000">
        <w:rPr>
          <w:rtl w:val="0"/>
        </w:rPr>
        <w:t xml:space="preserve">Sources and verification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64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Use the linked official sources to confirm current details before release or student use.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64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1. </w:t>
      </w:r>
      <w:hyperlink r:id="rId8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National Center for Education Statistics: Official Resource</w:t>
        </w:r>
      </w:hyperlink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   |  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2. </w:t>
      </w:r>
      <w:hyperlink r:id="rId9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Delaware Department of Education: Official Resource</w:t>
        </w:r>
      </w:hyperlink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   |  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3. </w:t>
      </w:r>
      <w:hyperlink r:id="rId10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Delaware Department of Education: Official Resource</w:t>
        </w:r>
      </w:hyperlink>
      <w:r w:rsidDel="00000000" w:rsidR="00000000" w:rsidRPr="00000000">
        <w:rPr>
          <w:rtl w:val="0"/>
        </w:rPr>
      </w:r>
    </w:p>
    <w:sectPr>
      <w:headerReference r:id="rId11" w:type="default"/>
      <w:footerReference r:id="rId12" w:type="default"/>
      <w:pgSz w:h="15840" w:w="12240" w:orient="portrait"/>
      <w:pgMar w:bottom="1440" w:top="144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C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center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667085"/>
        <w:sz w:val="15"/>
        <w:szCs w:val="15"/>
        <w:u w:val="none"/>
        <w:shd w:fill="auto" w:val="clear"/>
        <w:vertAlign w:val="baseline"/>
        <w:rtl w:val="0"/>
      </w:rPr>
      <w:t xml:space="preserve">15 Regional College Options  |  Page </w:t>
    </w: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2"/>
        <w:szCs w:val="22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B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righ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1"/>
        <w:bCs w:val="1"/>
        <w:i w:val="0"/>
        <w:iCs w:val="0"/>
        <w:smallCaps w:val="0"/>
        <w:strike w:val="0"/>
        <w:color w:val="667085"/>
        <w:sz w:val="16"/>
        <w:szCs w:val="16"/>
        <w:u w:val="none"/>
        <w:shd w:fill="auto" w:val="clear"/>
        <w:vertAlign w:val="baseline"/>
        <w:rtl w:val="0"/>
      </w:rPr>
      <w:t xml:space="preserve">LAUNCH INTO YOUR FUTURE  |  COUNSELOR GUIDE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•"/>
      <w:lvlJc w:val="left"/>
      <w:pPr>
        <w:ind w:left="540" w:hanging="270"/>
      </w:pPr>
      <w:rPr>
        <w:rFonts w:ascii="Arial" w:cs="Arial" w:eastAsia="Arial" w:hAnsi="Arial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2">
    <w:lvl w:ilvl="0">
      <w:start w:val="1"/>
      <w:numFmt w:val="decimal"/>
      <w:lvlText w:val="%1."/>
      <w:lvlJc w:val="left"/>
      <w:pPr>
        <w:ind w:left="540" w:hanging="270"/>
      </w:pPr>
      <w:rPr>
        <w:rFonts w:ascii="Arial" w:cs="Arial" w:eastAsia="Arial" w:hAnsi="Arial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color w:val="1f2937"/>
        <w:sz w:val="22"/>
        <w:szCs w:val="22"/>
        <w:lang w:val="en"/>
      </w:rPr>
    </w:rPrDefault>
    <w:pPrDefault>
      <w:pPr>
        <w:spacing w:after="120" w:line="300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200" w:before="360" w:line="252.00000000000003" w:lineRule="auto"/>
    </w:pPr>
    <w:rPr>
      <w:rFonts w:ascii="Arial" w:cs="Arial" w:eastAsia="Arial" w:hAnsi="Arial"/>
      <w:b w:val="1"/>
      <w:bCs w:val="1"/>
      <w:color w:val="1d4289"/>
      <w:sz w:val="32"/>
      <w:szCs w:val="32"/>
    </w:rPr>
  </w:style>
  <w:style w:type="paragraph" w:styleId="Heading2">
    <w:name w:val="heading 2"/>
    <w:basedOn w:val="Normal"/>
    <w:next w:val="Normal"/>
    <w:pPr>
      <w:keepNext w:val="1"/>
      <w:keepLines w:val="1"/>
      <w:spacing w:after="140" w:before="280" w:line="259" w:lineRule="auto"/>
    </w:pPr>
    <w:rPr>
      <w:rFonts w:ascii="Arial" w:cs="Arial" w:eastAsia="Arial" w:hAnsi="Arial"/>
      <w:b w:val="1"/>
      <w:bCs w:val="1"/>
      <w:color w:val="1d4289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100" w:before="200" w:line="259" w:lineRule="auto"/>
    </w:pPr>
    <w:rPr>
      <w:rFonts w:ascii="Arial" w:cs="Arial" w:eastAsia="Arial" w:hAnsi="Arial"/>
      <w:b w:val="1"/>
      <w:bCs w:val="1"/>
      <w:color w:val="274c77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keepNext w:val="1"/>
      <w:pBdr>
        <w:bottom w:color="4f81bd" w:space="4" w:sz="8" w:val="single"/>
      </w:pBdr>
      <w:spacing w:after="100" w:before="0" w:line="240" w:lineRule="auto"/>
    </w:pPr>
    <w:rPr>
      <w:rFonts w:ascii="Arial" w:cs="Arial" w:eastAsia="Arial" w:hAnsi="Arial"/>
      <w:b w:val="1"/>
      <w:bCs w:val="1"/>
      <w:color w:val="1d4289"/>
      <w:sz w:val="50"/>
      <w:szCs w:val="50"/>
    </w:rPr>
  </w:style>
  <w:style w:type="paragraph" w:styleId="Header">
    <w:name w:val="header"/>
    <w:basedOn w:val="Normal"/>
    <w:link w:val="Head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6"/>
    </w:pPr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7"/>
    </w:pPr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8"/>
    </w:pPr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NoSpacing">
    <w:name w:val="No Spacing"/>
    <w:uiPriority w:val="1"/>
    <w:qFormat w:val="1"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 w:val="1"/>
      <w:bCs w:val="1"/>
      <w:color w:val="365f91" w:themeColor="accent1" w:themeShade="0000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val="17365d" w:themeColor="text2" w:themeShade="0000BF"/>
      <w:spacing w:val="5"/>
      <w:kern w:val="28"/>
      <w:sz w:val="52"/>
      <w:szCs w:val="52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 w:val="1"/>
      <w:iCs w:val="1"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 w:val="1"/>
    <w:rsid w:val="00FC693F"/>
    <w:pPr>
      <w:ind w:left="720"/>
      <w:contextualSpacing w:val="1"/>
    </w:pPr>
  </w:style>
  <w:style w:type="paragraph" w:styleId="BodyText">
    <w:name w:val="Body Text"/>
    <w:basedOn w:val="Normal"/>
    <w:link w:val="BodyTextChar"/>
    <w:uiPriority w:val="99"/>
    <w:unhideWhenUsed w:val="1"/>
    <w:rsid w:val="00AA1D8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 w:val="1"/>
    <w:rsid w:val="00AA1D8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 w:val="1"/>
    <w:rsid w:val="00AA1D8D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 w:val="1"/>
    <w:rsid w:val="00AA1D8D"/>
    <w:pPr>
      <w:ind w:left="360" w:hanging="360"/>
      <w:contextualSpacing w:val="1"/>
    </w:pPr>
  </w:style>
  <w:style w:type="paragraph" w:styleId="List2">
    <w:name w:val="List 2"/>
    <w:basedOn w:val="Normal"/>
    <w:uiPriority w:val="99"/>
    <w:unhideWhenUsed w:val="1"/>
    <w:rsid w:val="00326F90"/>
    <w:pPr>
      <w:ind w:left="720" w:hanging="360"/>
      <w:contextualSpacing w:val="1"/>
    </w:pPr>
  </w:style>
  <w:style w:type="paragraph" w:styleId="List3">
    <w:name w:val="List 3"/>
    <w:basedOn w:val="Normal"/>
    <w:uiPriority w:val="99"/>
    <w:unhideWhenUsed w:val="1"/>
    <w:rsid w:val="00326F90"/>
    <w:pPr>
      <w:ind w:left="1080" w:hanging="360"/>
      <w:contextualSpacing w:val="1"/>
    </w:pPr>
  </w:style>
  <w:style w:type="paragraph" w:styleId="ListBullet">
    <w:name w:val="List Bullet"/>
    <w:basedOn w:val="Normal"/>
    <w:uiPriority w:val="99"/>
    <w:unhideWhenUsed w:val="1"/>
    <w:rsid w:val="00326F90"/>
    <w:pPr>
      <w:numPr>
        <w:numId w:val="1"/>
      </w:numPr>
      <w:contextualSpacing w:val="1"/>
    </w:pPr>
  </w:style>
  <w:style w:type="paragraph" w:styleId="ListBullet2">
    <w:name w:val="List Bullet 2"/>
    <w:basedOn w:val="Normal"/>
    <w:uiPriority w:val="99"/>
    <w:unhideWhenUsed w:val="1"/>
    <w:rsid w:val="00326F90"/>
    <w:pPr>
      <w:numPr>
        <w:numId w:val="2"/>
      </w:numPr>
      <w:contextualSpacing w:val="1"/>
    </w:pPr>
  </w:style>
  <w:style w:type="paragraph" w:styleId="ListBullet3">
    <w:name w:val="List Bullet 3"/>
    <w:basedOn w:val="Normal"/>
    <w:uiPriority w:val="99"/>
    <w:unhideWhenUsed w:val="1"/>
    <w:rsid w:val="00326F90"/>
    <w:pPr>
      <w:numPr>
        <w:numId w:val="3"/>
      </w:numPr>
      <w:contextualSpacing w:val="1"/>
    </w:pPr>
  </w:style>
  <w:style w:type="paragraph" w:styleId="ListNumber">
    <w:name w:val="List Number"/>
    <w:basedOn w:val="Normal"/>
    <w:uiPriority w:val="99"/>
    <w:unhideWhenUsed w:val="1"/>
    <w:rsid w:val="00326F90"/>
    <w:pPr>
      <w:numPr>
        <w:numId w:val="5"/>
      </w:numPr>
      <w:contextualSpacing w:val="1"/>
    </w:pPr>
  </w:style>
  <w:style w:type="paragraph" w:styleId="ListNumber2">
    <w:name w:val="List Number 2"/>
    <w:basedOn w:val="Normal"/>
    <w:uiPriority w:val="99"/>
    <w:unhideWhenUsed w:val="1"/>
    <w:rsid w:val="0029639D"/>
    <w:pPr>
      <w:numPr>
        <w:numId w:val="6"/>
      </w:numPr>
      <w:contextualSpacing w:val="1"/>
    </w:pPr>
  </w:style>
  <w:style w:type="paragraph" w:styleId="ListNumber3">
    <w:name w:val="List Number 3"/>
    <w:basedOn w:val="Normal"/>
    <w:uiPriority w:val="99"/>
    <w:unhideWhenUsed w:val="1"/>
    <w:rsid w:val="0029639D"/>
    <w:pPr>
      <w:numPr>
        <w:numId w:val="7"/>
      </w:numPr>
      <w:contextualSpacing w:val="1"/>
    </w:pPr>
  </w:style>
  <w:style w:type="paragraph" w:styleId="ListContinue">
    <w:name w:val="List Continue"/>
    <w:basedOn w:val="Normal"/>
    <w:uiPriority w:val="99"/>
    <w:unhideWhenUsed w:val="1"/>
    <w:rsid w:val="0029639D"/>
    <w:pPr>
      <w:spacing w:after="120"/>
      <w:ind w:left="360"/>
      <w:contextualSpacing w:val="1"/>
    </w:pPr>
  </w:style>
  <w:style w:type="paragraph" w:styleId="ListContinue2">
    <w:name w:val="List Continue 2"/>
    <w:basedOn w:val="Normal"/>
    <w:uiPriority w:val="99"/>
    <w:unhideWhenUsed w:val="1"/>
    <w:rsid w:val="0029639D"/>
    <w:pPr>
      <w:spacing w:after="120"/>
      <w:ind w:left="720"/>
      <w:contextualSpacing w:val="1"/>
    </w:pPr>
  </w:style>
  <w:style w:type="paragraph" w:styleId="ListContinue3">
    <w:name w:val="List Continue 3"/>
    <w:basedOn w:val="Normal"/>
    <w:uiPriority w:val="99"/>
    <w:unhideWhenUsed w:val="1"/>
    <w:rsid w:val="0029639D"/>
    <w:pPr>
      <w:spacing w:after="120"/>
      <w:ind w:left="1080"/>
      <w:contextualSpacing w:val="1"/>
    </w:pPr>
  </w:style>
  <w:style w:type="paragraph" w:styleId="MacroText">
    <w:name w:val="macro"/>
    <w:link w:val="MacroTextChar"/>
    <w:uiPriority w:val="99"/>
    <w:unhideWhenUsed w:val="1"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 w:val="1"/>
    <w:rsid w:val="00FC693F"/>
    <w:rPr>
      <w:i w:val="1"/>
      <w:iCs w:val="1"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 w:val="1"/>
      <w:iCs w:val="1"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FC693F"/>
    <w:rPr>
      <w:rFonts w:asciiTheme="majorHAnsi" w:cstheme="majorBidi" w:eastAsiaTheme="majorEastAsia" w:hAnsiTheme="majorHAnsi"/>
      <w:b w:val="1"/>
      <w:bCs w:val="1"/>
      <w:i w:val="1"/>
      <w:iCs w:val="1"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FC693F"/>
    <w:rPr>
      <w:rFonts w:asciiTheme="majorHAnsi" w:cstheme="majorBidi" w:eastAsiaTheme="majorEastAsia" w:hAnsiTheme="majorHAnsi"/>
      <w:color w:val="243f60" w:themeColor="accent1" w:themeShade="00007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243f60" w:themeColor="accent1" w:themeShade="00007F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FC693F"/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paragraph" w:styleId="Caption">
    <w:name w:val="caption"/>
    <w:basedOn w:val="Normal"/>
    <w:next w:val="Normal"/>
    <w:uiPriority w:val="35"/>
    <w:semiHidden w:val="1"/>
    <w:unhideWhenUsed w:val="1"/>
    <w:qFormat w:val="1"/>
    <w:rsid w:val="00FC693F"/>
    <w:pPr>
      <w:spacing w:line="240" w:lineRule="auto"/>
    </w:pPr>
    <w:rPr>
      <w:b w:val="1"/>
      <w:bCs w:val="1"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 w:val="1"/>
    <w:rsid w:val="00FC693F"/>
    <w:rPr>
      <w:b w:val="1"/>
      <w:bCs w:val="1"/>
    </w:rPr>
  </w:style>
  <w:style w:type="character" w:styleId="Emphasis">
    <w:name w:val="Emphasis"/>
    <w:basedOn w:val="DefaultParagraphFont"/>
    <w:uiPriority w:val="20"/>
    <w:qFormat w:val="1"/>
    <w:rsid w:val="00FC693F"/>
    <w:rPr>
      <w:i w:val="1"/>
      <w:iCs w:val="1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 w:val="1"/>
      <w:bCs w:val="1"/>
      <w:i w:val="1"/>
      <w:iCs w:val="1"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 w:val="1"/>
      <w:bCs w:val="1"/>
      <w:i w:val="1"/>
      <w:iCs w:val="1"/>
      <w:color w:val="4f81bd" w:themeColor="accent1"/>
    </w:rPr>
  </w:style>
  <w:style w:type="character" w:styleId="SubtleEmphasis">
    <w:name w:val="Subtle Emphasis"/>
    <w:basedOn w:val="DefaultParagraphFont"/>
    <w:uiPriority w:val="19"/>
    <w:qFormat w:val="1"/>
    <w:rsid w:val="00FC693F"/>
    <w:rPr>
      <w:i w:val="1"/>
      <w:iCs w:val="1"/>
      <w:color w:val="808080" w:themeColor="text1" w:themeTint="00007F"/>
    </w:rPr>
  </w:style>
  <w:style w:type="character" w:styleId="IntenseEmphasis">
    <w:name w:val="Intense Emphasis"/>
    <w:basedOn w:val="DefaultParagraphFont"/>
    <w:uiPriority w:val="21"/>
    <w:qFormat w:val="1"/>
    <w:rsid w:val="00FC693F"/>
    <w:rPr>
      <w:b w:val="1"/>
      <w:bCs w:val="1"/>
      <w:i w:val="1"/>
      <w:iCs w:val="1"/>
      <w:color w:val="4f81bd" w:themeColor="accent1"/>
    </w:rPr>
  </w:style>
  <w:style w:type="character" w:styleId="SubtleReference">
    <w:name w:val="Subtle Reference"/>
    <w:basedOn w:val="DefaultParagraphFont"/>
    <w:uiPriority w:val="31"/>
    <w:qFormat w:val="1"/>
    <w:rsid w:val="00FC693F"/>
    <w:rPr>
      <w:smallCaps w:val="1"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1"/>
    <w:rsid w:val="00FC693F"/>
    <w:rPr>
      <w:b w:val="1"/>
      <w:bCs w:val="1"/>
      <w:smallCaps w:val="1"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1"/>
    <w:rsid w:val="00FC693F"/>
    <w:rPr>
      <w:b w:val="1"/>
      <w:bCs w:val="1"/>
      <w:smallCaps w:val="1"/>
      <w:spacing w:val="5"/>
    </w:rPr>
  </w:style>
  <w:style w:type="paragraph" w:styleId="TOCHeading">
    <w:name w:val="TOC Heading"/>
    <w:basedOn w:val="Heading1"/>
    <w:next w:val="Normal"/>
    <w:uiPriority w:val="39"/>
    <w:semiHidden w:val="1"/>
    <w:unhideWhenUsed w:val="1"/>
    <w:qFormat w:val="1"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.0" w:type="dxa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0000BF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0000BF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0000BF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0000BF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0000BF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0000BF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0000BF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0000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0000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0000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0000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0000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0000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0000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404040" w:space="0" w:sz="8" w:themeColor="text1" w:themeTint="0000BF" w:val="sing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04040" w:space="0" w:sz="6" w:themeColor="text1" w:themeTint="0000BF" w:val="doub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ba0cd" w:space="0" w:sz="8" w:themeColor="accent1" w:themeTint="0000BF" w:val="sing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ba0cd" w:space="0" w:sz="6" w:themeColor="accent1" w:themeTint="0000BF" w:val="doub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cf7b79" w:space="0" w:sz="8" w:themeColor="accent2" w:themeTint="0000BF" w:val="sing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f7b79" w:space="0" w:sz="6" w:themeColor="accent2" w:themeTint="0000BF" w:val="doub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b3cc82" w:space="0" w:sz="8" w:themeColor="accent3" w:themeTint="0000BF" w:val="sing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b3cc82" w:space="0" w:sz="6" w:themeColor="accent3" w:themeTint="0000BF" w:val="doub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9f8ab9" w:space="0" w:sz="8" w:themeColor="accent4" w:themeTint="0000BF" w:val="sing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f8ab9" w:space="0" w:sz="6" w:themeColor="accent4" w:themeTint="0000BF" w:val="doub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8c0d4" w:space="0" w:sz="8" w:themeColor="accent5" w:themeTint="0000BF" w:val="sing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8c0d4" w:space="0" w:sz="6" w:themeColor="accent5" w:themeTint="0000BF" w:val="doub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f9b074" w:space="0" w:sz="8" w:themeColor="accent6" w:themeTint="0000BF" w:val="sing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9b074" w:space="0" w:sz="6" w:themeColor="accent6" w:themeTint="0000BF" w:val="doub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000000" w:space="0" w:sz="8" w:themeColor="tex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shd w:color="auto" w:fill="c0c0c0" w:themeFill="text1" w:themeFillTint="00003F" w:val="clear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f81bd" w:space="0" w:sz="8" w:themeColor="accen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shd w:color="auto" w:fill="d3dfee" w:themeFill="accent1" w:themeFillTint="00003F" w:val="clear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c0504d" w:space="0" w:sz="8" w:themeColor="accent2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shd w:color="auto" w:fill="efd3d2" w:themeFill="accent2" w:themeFillTint="00003F" w:val="clear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9bbb59" w:space="0" w:sz="8" w:themeColor="accent3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shd w:color="auto" w:fill="e6eed5" w:themeFill="accent3" w:themeFillTint="00003F" w:val="clear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8064a2" w:space="0" w:sz="8" w:themeColor="accent4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shd w:color="auto" w:fill="dfd8e8" w:themeFill="accent4" w:themeFillTint="00003F" w:val="clear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bacc6" w:space="0" w:sz="8" w:themeColor="accent5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shd w:color="auto" w:fill="d2eaf1" w:themeFill="accent5" w:themeFillTint="00003F" w:val="clear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f79646" w:space="0" w:sz="8" w:themeColor="accent6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shd w:color="auto" w:fill="fde4d0" w:themeFill="accent6" w:themeFillTint="00003F" w:val="clear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000000" w:space="0" w:sz="24" w:themeColor="tex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000000" w:space="0" w:sz="8" w:themeColor="tex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000000" w:space="0" w:sz="8" w:themeColor="tex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f81bd" w:space="0" w:sz="24" w:themeColor="accen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f81bd" w:space="0" w:sz="8" w:themeColor="accen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f81bd" w:space="0" w:sz="8" w:themeColor="accen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c0504d" w:space="0" w:sz="8" w:themeColor="accent2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c0504d" w:space="0" w:sz="8" w:themeColor="accent2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9bbb59" w:space="0" w:sz="8" w:themeColor="accent3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9bbb59" w:space="0" w:sz="8" w:themeColor="accent3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8064a2" w:space="0" w:sz="8" w:themeColor="accent4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8064a2" w:space="0" w:sz="8" w:themeColor="accent4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bacc6" w:space="0" w:sz="8" w:themeColor="accent5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bacc6" w:space="0" w:sz="8" w:themeColor="accent5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79646" w:space="0" w:sz="8" w:themeColor="accent6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f79646" w:space="0" w:sz="8" w:themeColor="accent6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  <w:insideV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404040" w:space="0" w:sz="18" w:themeColor="tex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  <w:insideV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ba0cd" w:space="0" w:sz="18" w:themeColor="accen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  <w:insideV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cf7b79" w:space="0" w:sz="18" w:themeColor="accent2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  <w:insideV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3cc82" w:space="0" w:sz="18" w:themeColor="accent3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  <w:insideV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9f8ab9" w:space="0" w:sz="18" w:themeColor="accent4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  <w:insideV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8c0d4" w:space="0" w:sz="18" w:themeColor="accent5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  <w:insideV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f9b074" w:space="0" w:sz="18" w:themeColor="accent6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6e6e6" w:themeFill="tex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ccccc" w:themeFill="text1" w:themeFillTint="000033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2f8" w:themeFill="accen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be5f1" w:themeFill="accent1" w:themeFillTint="000033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8eded" w:themeFill="accent2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2dbdb" w:themeFill="accent2" w:themeFillTint="000033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5f8ee" w:themeFill="accent3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af1dd" w:themeFill="accent3" w:themeFillTint="000033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2eff6" w:themeFill="accent4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5dfec" w:themeFill="accent4" w:themeFillTint="000033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6f9" w:themeFill="accent5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aeef3" w:themeFill="accent5" w:themeFillTint="000033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ef4ec" w:themeFill="accent6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9d9" w:themeFill="accent6" w:themeFillTint="000033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808080" w:themeFill="tex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00007F" w:val="clear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7bfde" w:themeFill="accen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00007F" w:val="clear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dfa7a6" w:themeFill="accent2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00007F" w:val="clear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cdddac" w:themeFill="accent3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00007F" w:val="clear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bfb1d0" w:themeFill="accent4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00007F" w:val="clear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5d5e2" w:themeFill="accent5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00007F" w:val="clear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fbcaa2" w:themeFill="accent6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00007F" w:val="clear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000000" w:themeFill="tex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f81bd" w:themeFill="accen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43f60" w:themeFill="accen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504d" w:themeFill="accent2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622423" w:themeFill="accent2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9bbb59" w:themeFill="accent3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e6128" w:themeFill="accent3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8064a2" w:themeFill="accent4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f3151" w:themeFill="accent4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bacc6" w:themeFill="accent5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05867" w:themeFill="accent5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79646" w:themeFill="accent6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74706" w:themeFill="accent6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000000" w:themeFill="tex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000000" w:space="0" w:sz="4" w:themeColor="text1" w:themeShade="000099" w:val="single"/>
          <w:insideV w:space="0" w:sz="0" w:val="nil"/>
        </w:tcBorders>
        <w:shd w:color="auto" w:fill="000000" w:themeFill="tex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shd w:color="auto" w:fill="999999" w:themeFill="text1" w:themeFillTint="000066" w:val="clear"/>
      </w:tcPr>
    </w:tblStylePr>
    <w:tblStylePr w:type="band1Horz">
      <w:tblPr/>
      <w:tcPr>
        <w:shd w:color="auto" w:fill="808080" w:themeFill="tex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c4c74" w:space="0" w:sz="4" w:themeColor="accent1" w:themeShade="000099" w:val="single"/>
          <w:insideV w:space="0" w:sz="0" w:val="nil"/>
        </w:tcBorders>
        <w:shd w:color="auto" w:fill="2c4c74" w:themeFill="accen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c4c74" w:themeFill="accent1" w:themeFillShade="000099" w:val="clear"/>
      </w:tcPr>
    </w:tblStylePr>
    <w:tblStylePr w:type="band1Vert">
      <w:tblPr/>
      <w:tcPr>
        <w:shd w:color="auto" w:fill="b8cce4" w:themeFill="accent1" w:themeFillTint="000066" w:val="clear"/>
      </w:tcPr>
    </w:tblStylePr>
    <w:tblStylePr w:type="band1Horz">
      <w:tblPr/>
      <w:tcPr>
        <w:shd w:color="auto" w:fill="a7bfde" w:themeFill="accen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772c2a" w:space="0" w:sz="4" w:themeColor="accent2" w:themeShade="000099" w:val="single"/>
          <w:insideV w:space="0" w:sz="0" w:val="nil"/>
        </w:tcBorders>
        <w:shd w:color="auto" w:fill="772c2a" w:themeFill="accent2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72c2a" w:themeFill="accent2" w:themeFillShade="000099" w:val="clear"/>
      </w:tcPr>
    </w:tblStylePr>
    <w:tblStylePr w:type="band1Vert">
      <w:tblPr/>
      <w:tcPr>
        <w:shd w:color="auto" w:fill="e5b8b7" w:themeFill="accent2" w:themeFillTint="000066" w:val="clear"/>
      </w:tcPr>
    </w:tblStylePr>
    <w:tblStylePr w:type="band1Horz">
      <w:tblPr/>
      <w:tcPr>
        <w:shd w:color="auto" w:fill="dfa7a6" w:themeFill="accent2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5e7530" w:space="0" w:sz="4" w:themeColor="accent3" w:themeShade="000099" w:val="single"/>
          <w:insideV w:space="0" w:sz="0" w:val="nil"/>
        </w:tcBorders>
        <w:shd w:color="auto" w:fill="5e7530" w:themeFill="accent3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e7530" w:themeFill="accent3" w:themeFillShade="000099" w:val="clear"/>
      </w:tcPr>
    </w:tblStylePr>
    <w:tblStylePr w:type="band1Vert">
      <w:tblPr/>
      <w:tcPr>
        <w:shd w:color="auto" w:fill="d6e3bc" w:themeFill="accent3" w:themeFillTint="000066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4c3b62" w:space="0" w:sz="4" w:themeColor="accent4" w:themeShade="000099" w:val="single"/>
          <w:insideV w:space="0" w:sz="0" w:val="nil"/>
        </w:tcBorders>
        <w:shd w:color="auto" w:fill="4c3b62" w:themeFill="accent4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c3b62" w:themeFill="accent4" w:themeFillShade="000099" w:val="clear"/>
      </w:tcPr>
    </w:tblStylePr>
    <w:tblStylePr w:type="band1Vert">
      <w:tblPr/>
      <w:tcPr>
        <w:shd w:color="auto" w:fill="ccc0d9" w:themeFill="accent4" w:themeFillTint="000066" w:val="clear"/>
      </w:tcPr>
    </w:tblStylePr>
    <w:tblStylePr w:type="band1Horz">
      <w:tblPr/>
      <w:tcPr>
        <w:shd w:color="auto" w:fill="bfb1d0" w:themeFill="accent4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76a7c" w:space="0" w:sz="4" w:themeColor="accent5" w:themeShade="000099" w:val="single"/>
          <w:insideV w:space="0" w:sz="0" w:val="nil"/>
        </w:tcBorders>
        <w:shd w:color="auto" w:fill="276a7c" w:themeFill="accent5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76a7c" w:themeFill="accent5" w:themeFillShade="000099" w:val="clear"/>
      </w:tcPr>
    </w:tblStylePr>
    <w:tblStylePr w:type="band1Vert">
      <w:tblPr/>
      <w:tcPr>
        <w:shd w:color="auto" w:fill="b6dde8" w:themeFill="accent5" w:themeFillTint="000066" w:val="clear"/>
      </w:tcPr>
    </w:tblStylePr>
    <w:tblStylePr w:type="band1Horz">
      <w:tblPr/>
      <w:tcPr>
        <w:shd w:color="auto" w:fill="a5d5e2" w:themeFill="accent5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b65608" w:space="0" w:sz="4" w:themeColor="accent6" w:themeShade="000099" w:val="single"/>
          <w:insideV w:space="0" w:sz="0" w:val="nil"/>
        </w:tcBorders>
        <w:shd w:color="auto" w:fill="b65608" w:themeFill="accent6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b65608" w:themeFill="accent6" w:themeFillShade="000099" w:val="clear"/>
      </w:tcPr>
    </w:tblStylePr>
    <w:tblStylePr w:type="band1Vert">
      <w:tblPr/>
      <w:tcPr>
        <w:shd w:color="auto" w:fill="fbd4b4" w:themeFill="accent6" w:themeFillTint="000066" w:val="clear"/>
      </w:tcPr>
    </w:tblStylePr>
    <w:tblStylePr w:type="band1Horz">
      <w:tblPr/>
      <w:tcPr>
        <w:shd w:color="auto" w:fill="fbcaa2" w:themeFill="accent6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shd w:color="auto" w:fill="dbe5f1" w:themeFill="accent1" w:themeFillTint="000033" w:val="clear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shd w:color="auto" w:fill="f2dbdb" w:themeFill="accent2" w:themeFillTint="000033" w:val="clear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0000CC" w:val="clear"/>
      </w:tcPr>
    </w:tblStylePr>
    <w:tblStylePr w:type="lastRow">
      <w:rPr>
        <w:b w:val="1"/>
        <w:bCs w:val="1"/>
        <w:color w:val="664e82" w:themeColor="accent4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shd w:color="auto" w:fill="eaf1dd" w:themeFill="accent3" w:themeFillTint="000033" w:val="clear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0000CC" w:val="clear"/>
      </w:tcPr>
    </w:tblStylePr>
    <w:tblStylePr w:type="lastRow">
      <w:rPr>
        <w:b w:val="1"/>
        <w:bCs w:val="1"/>
        <w:color w:val="7e9c40" w:themeColor="accent3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shd w:color="auto" w:fill="e5dfec" w:themeFill="accent4" w:themeFillTint="000033" w:val="clear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0000CC" w:val="clear"/>
      </w:tcPr>
    </w:tblStylePr>
    <w:tblStylePr w:type="lastRow">
      <w:rPr>
        <w:b w:val="1"/>
        <w:bCs w:val="1"/>
        <w:color w:val="f2730a" w:themeColor="accent6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shd w:color="auto" w:fill="daeef3" w:themeFill="accent5" w:themeFillTint="000033" w:val="clear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0000CC" w:val="clear"/>
      </w:tcPr>
    </w:tblStylePr>
    <w:tblStylePr w:type="lastRow">
      <w:rPr>
        <w:b w:val="1"/>
        <w:bCs w:val="1"/>
        <w:color w:val="348da5" w:themeColor="accent5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shd w:color="auto" w:fill="fde9d9" w:themeFill="accent6" w:themeFillTint="000033" w:val="clear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ccccc" w:themeFill="text1" w:themeFillTint="000033" w:val="clear"/>
    </w:tcPr>
    <w:tblStylePr w:type="firstRow">
      <w:rPr>
        <w:b w:val="1"/>
        <w:bCs w:val="1"/>
      </w:rPr>
      <w:tblPr/>
      <w:tcPr>
        <w:shd w:color="auto" w:fill="999999" w:themeFill="tex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999999" w:themeFill="text1" w:themeFillTint="000066" w:val="clear"/>
      </w:tcPr>
    </w:tblStylePr>
    <w:tblStylePr w:type="fir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la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be5f1" w:themeFill="accent1" w:themeFillTint="000033" w:val="clear"/>
    </w:tcPr>
    <w:tblStylePr w:type="firstRow">
      <w:rPr>
        <w:b w:val="1"/>
        <w:bCs w:val="1"/>
      </w:rPr>
      <w:tblPr/>
      <w:tcPr>
        <w:shd w:color="auto" w:fill="b8cce4" w:themeFill="accen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8cce4" w:themeFill="accent1" w:themeFillTint="000066" w:val="clear"/>
      </w:tcPr>
    </w:tblStylePr>
    <w:tblStylePr w:type="fir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la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dbdb" w:themeFill="accent2" w:themeFillTint="000033" w:val="clear"/>
    </w:tcPr>
    <w:tblStylePr w:type="firstRow">
      <w:rPr>
        <w:b w:val="1"/>
        <w:bCs w:val="1"/>
      </w:rPr>
      <w:tblPr/>
      <w:tcPr>
        <w:shd w:color="auto" w:fill="e5b8b7" w:themeFill="accent2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e5b8b7" w:themeFill="accent2" w:themeFillTint="000066" w:val="clear"/>
      </w:tcPr>
    </w:tblStylePr>
    <w:tblStylePr w:type="fir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la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af1dd" w:themeFill="accent3" w:themeFillTint="000033" w:val="clear"/>
    </w:tcPr>
    <w:tblStylePr w:type="firstRow">
      <w:rPr>
        <w:b w:val="1"/>
        <w:bCs w:val="1"/>
      </w:rPr>
      <w:tblPr/>
      <w:tcPr>
        <w:shd w:color="auto" w:fill="d6e3bc" w:themeFill="accent3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d6e3bc" w:themeFill="accent3" w:themeFillTint="000066" w:val="clear"/>
      </w:tcPr>
    </w:tblStylePr>
    <w:tblStylePr w:type="fir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la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5dfec" w:themeFill="accent4" w:themeFillTint="000033" w:val="clear"/>
    </w:tcPr>
    <w:tblStylePr w:type="firstRow">
      <w:rPr>
        <w:b w:val="1"/>
        <w:bCs w:val="1"/>
      </w:rPr>
      <w:tblPr/>
      <w:tcPr>
        <w:shd w:color="auto" w:fill="ccc0d9" w:themeFill="accent4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ccc0d9" w:themeFill="accent4" w:themeFillTint="000066" w:val="clear"/>
      </w:tcPr>
    </w:tblStylePr>
    <w:tblStylePr w:type="fir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la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aeef3" w:themeFill="accent5" w:themeFillTint="000033" w:val="clear"/>
    </w:tcPr>
    <w:tblStylePr w:type="firstRow">
      <w:rPr>
        <w:b w:val="1"/>
        <w:bCs w:val="1"/>
      </w:rPr>
      <w:tblPr/>
      <w:tcPr>
        <w:shd w:color="auto" w:fill="b6dde8" w:themeFill="accent5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6dde8" w:themeFill="accent5" w:themeFillTint="000066" w:val="clear"/>
      </w:tcPr>
    </w:tblStylePr>
    <w:tblStylePr w:type="fir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la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9d9" w:themeFill="accent6" w:themeFillTint="000033" w:val="clear"/>
    </w:tcPr>
    <w:tblStylePr w:type="firstRow">
      <w:rPr>
        <w:b w:val="1"/>
        <w:bCs w:val="1"/>
      </w:rPr>
      <w:tblPr/>
      <w:tcPr>
        <w:shd w:color="auto" w:fill="fbd4b4" w:themeFill="accent6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fbd4b4" w:themeFill="accent6" w:themeFillTint="000066" w:val="clear"/>
      </w:tcPr>
    </w:tblStylePr>
    <w:tblStylePr w:type="fir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la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paragraph" w:styleId="SourceText" w:customStyle="1">
    <w:name w:val="Source Text"/>
    <w:pPr>
      <w:spacing w:after="60" w:before="0" w:line="264" w:lineRule="auto"/>
    </w:pPr>
    <w:rPr>
      <w:rFonts w:ascii="Arial" w:eastAsia="Arial" w:hAnsi="Arial"/>
      <w:b w:val="0"/>
      <w:color w:val="667085"/>
      <w:sz w:val="18"/>
    </w:rPr>
  </w:style>
  <w:style w:type="paragraph" w:styleId="Kicker" w:customStyle="1">
    <w:name w:val="Kicker"/>
    <w:pPr>
      <w:keepNext w:val="1"/>
      <w:spacing w:after="60" w:before="0" w:line="240" w:lineRule="auto"/>
    </w:pPr>
    <w:rPr>
      <w:rFonts w:ascii="Arial" w:eastAsia="Arial" w:hAnsi="Arial"/>
      <w:b w:val="1"/>
      <w:color w:val="ff6720"/>
      <w:sz w:val="18"/>
    </w:rPr>
  </w:style>
  <w:style w:type="paragraph" w:styleId="TemplateLabel" w:customStyle="1">
    <w:name w:val="Template Label"/>
    <w:pPr>
      <w:keepNext w:val="1"/>
      <w:spacing w:after="40" w:before="80" w:line="264" w:lineRule="auto"/>
    </w:pPr>
    <w:rPr>
      <w:rFonts w:ascii="Arial" w:eastAsia="Arial" w:hAnsi="Arial"/>
      <w:b w:val="1"/>
      <w:color w:val="1d4289"/>
      <w:sz w:val="21"/>
    </w:rPr>
  </w:style>
  <w:style w:type="paragraph" w:styleId="Subtitle">
    <w:name w:val="Subtitle"/>
    <w:basedOn w:val="Normal"/>
    <w:next w:val="Normal"/>
    <w:pPr>
      <w:keepNext w:val="1"/>
      <w:spacing w:after="240" w:before="0" w:line="259" w:lineRule="auto"/>
    </w:pPr>
    <w:rPr>
      <w:rFonts w:ascii="Arial" w:cs="Arial" w:eastAsia="Arial" w:hAnsi="Arial"/>
      <w:b w:val="0"/>
      <w:bCs w:val="0"/>
      <w:i w:val="1"/>
      <w:iCs w:val="1"/>
      <w:color w:val="4a5568"/>
      <w:sz w:val="27"/>
      <w:szCs w:val="27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header" Target="header1.xml"/><Relationship Id="rId10" Type="http://schemas.openxmlformats.org/officeDocument/2006/relationships/hyperlink" Target="https://education.delaware.gov/families/college-career-life/college-scholarship-financial-aid/" TargetMode="External"/><Relationship Id="rId12" Type="http://schemas.openxmlformats.org/officeDocument/2006/relationships/footer" Target="footer1.xml"/><Relationship Id="rId9" Type="http://schemas.openxmlformats.org/officeDocument/2006/relationships/hyperlink" Target="https://education.delaware.gov/families/college-career-life/college-scholarship-financial-aid/choose-your-path/approved-colleges-and-institutions/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hyperlink" Target="https://nces.ed.gov/collegenavigator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ADrGswFVnqilycncmZBt0nrJfJQ==">CgMxLjA4AHIhMWRoeVFWN1dvd19jSF8wY0d5clZYZmplOU9MUTMwTk5Y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Launch Into Your Future</dc:creator>
</cp:coreProperties>
</file>