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80" w:lineRule="auto"/>
        <w:jc w:val="left"/>
        <w:rPr/>
      </w:pPr>
      <w:r w:rsidDel="00000000" w:rsidR="00000000" w:rsidRPr="00000000">
        <w:rPr/>
        <w:drawing>
          <wp:inline distB="0" distT="0" distL="114300" distR="114300">
            <wp:extent cx="960120" cy="457469"/>
            <wp:effectExtent b="0" l="0" r="0" t="0"/>
            <wp:docPr descr="Launch Into Your Future logo" id="2" name="image1.png"/>
            <a:graphic>
              <a:graphicData uri="http://schemas.openxmlformats.org/drawingml/2006/picture">
                <pic:pic>
                  <pic:nvPicPr>
                    <pic:cNvPr descr="Launch Into Your Future logo" id="0" name="image1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960120" cy="457469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1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0" w:line="240" w:lineRule="auto"/>
        <w:ind w:left="0" w:right="0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ff672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ff6720"/>
          <w:sz w:val="18"/>
          <w:szCs w:val="18"/>
          <w:u w:val="none"/>
          <w:shd w:fill="auto" w:val="clear"/>
          <w:vertAlign w:val="baseline"/>
          <w:rtl w:val="0"/>
        </w:rPr>
        <w:t xml:space="preserve">CAMPAIGN KIT 12  |  COLLEGE</w:t>
      </w:r>
    </w:p>
    <w:p w:rsidR="00000000" w:rsidDel="00000000" w:rsidP="00000000" w:rsidRDefault="00000000" w:rsidRPr="00000000" w14:paraId="00000003">
      <w:pPr>
        <w:pStyle w:val="Title"/>
        <w:rPr/>
      </w:pPr>
      <w:r w:rsidDel="00000000" w:rsidR="00000000" w:rsidRPr="00000000">
        <w:rPr>
          <w:rtl w:val="0"/>
        </w:rPr>
        <w:t xml:space="preserve">Delaware-Specific College Navigation</w:t>
      </w:r>
    </w:p>
    <w:p w:rsidR="00000000" w:rsidDel="00000000" w:rsidP="00000000" w:rsidRDefault="00000000" w:rsidRPr="00000000" w14:paraId="00000004">
      <w:pPr>
        <w:pStyle w:val="Subtitle"/>
        <w:pBdr>
          <w:bottom w:color="00b0b9" w:space="5" w:sz="16" w:val="single"/>
        </w:pBdr>
        <w:rPr/>
      </w:pPr>
      <w:r w:rsidDel="00000000" w:rsidR="00000000" w:rsidRPr="00000000">
        <w:rPr>
          <w:rtl w:val="0"/>
        </w:rPr>
        <w:t xml:space="preserve">Curriculum Unit</w:t>
      </w:r>
    </w:p>
    <w:p w:rsidR="00000000" w:rsidDel="00000000" w:rsidP="00000000" w:rsidRDefault="00000000" w:rsidRPr="00000000" w14:paraId="00000005">
      <w:pPr>
        <w:keepLines w:val="1"/>
        <w:pBdr>
          <w:left w:color="1d4289" w:space="8" w:sz="22" w:val="single"/>
        </w:pBdr>
        <w:shd w:fill="e8eef8" w:val="clear"/>
        <w:spacing w:after="180" w:before="80" w:line="283" w:lineRule="auto"/>
        <w:ind w:left="173" w:right="115" w:firstLine="0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color w:val="1d4289"/>
          <w:sz w:val="20"/>
          <w:szCs w:val="20"/>
          <w:rtl w:val="0"/>
        </w:rPr>
        <w:t xml:space="preserve">UNIT FOCUS  </w:t>
      </w:r>
      <w:r w:rsidDel="00000000" w:rsidR="00000000" w:rsidRPr="00000000">
        <w:rPr>
          <w:rFonts w:ascii="Arial" w:cs="Arial" w:eastAsia="Arial" w:hAnsi="Arial"/>
          <w:b w:val="1"/>
          <w:bCs w:val="1"/>
          <w:color w:val="1f2937"/>
          <w:sz w:val="21"/>
          <w:szCs w:val="21"/>
          <w:rtl w:val="0"/>
        </w:rPr>
        <w:t xml:space="preserve">Delaware and regional institutions differ in programs, admission routes, cost, housing, transportation, and support.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pStyle w:val="Heading1"/>
        <w:rPr/>
      </w:pPr>
      <w:r w:rsidDel="00000000" w:rsidR="00000000" w:rsidRPr="00000000">
        <w:rPr>
          <w:rtl w:val="0"/>
        </w:rPr>
        <w:t xml:space="preserve">Unit snapshot</w:t>
      </w:r>
    </w:p>
    <w:p w:rsidR="00000000" w:rsidDel="00000000" w:rsidP="00000000" w:rsidRDefault="00000000" w:rsidRPr="00000000" w14:paraId="00000007">
      <w:pPr>
        <w:keepLines w:val="1"/>
        <w:spacing w:after="100" w:lineRule="auto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color w:val="1d4289"/>
          <w:rtl w:val="0"/>
        </w:rPr>
        <w:t xml:space="preserve">Recommended setting: </w:t>
      </w:r>
      <w:r w:rsidDel="00000000" w:rsidR="00000000" w:rsidRPr="00000000">
        <w:rPr>
          <w:rtl w:val="0"/>
        </w:rPr>
        <w:t xml:space="preserve">Advisory, college and career readiness, counseling seminar, or student success course</w:t>
      </w:r>
    </w:p>
    <w:p w:rsidR="00000000" w:rsidDel="00000000" w:rsidP="00000000" w:rsidRDefault="00000000" w:rsidRPr="00000000" w14:paraId="00000008">
      <w:pPr>
        <w:keepLines w:val="1"/>
        <w:spacing w:after="100" w:lineRule="auto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color w:val="1d4289"/>
          <w:rtl w:val="0"/>
        </w:rPr>
        <w:t xml:space="preserve">Time: </w:t>
      </w:r>
      <w:r w:rsidDel="00000000" w:rsidR="00000000" w:rsidRPr="00000000">
        <w:rPr>
          <w:rtl w:val="0"/>
        </w:rPr>
        <w:t xml:space="preserve">40-50 minutes, with an optional follow-up check-in</w:t>
      </w:r>
    </w:p>
    <w:p w:rsidR="00000000" w:rsidDel="00000000" w:rsidP="00000000" w:rsidRDefault="00000000" w:rsidRPr="00000000" w14:paraId="00000009">
      <w:pPr>
        <w:keepLines w:val="1"/>
        <w:spacing w:after="100" w:lineRule="auto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color w:val="1d4289"/>
          <w:rtl w:val="0"/>
        </w:rPr>
        <w:t xml:space="preserve">Student outcome: </w:t>
      </w:r>
      <w:r w:rsidDel="00000000" w:rsidR="00000000" w:rsidRPr="00000000">
        <w:rPr>
          <w:rtl w:val="0"/>
        </w:rPr>
        <w:t xml:space="preserve">Each student identifies one verified next step connected to Delaware-specific college navigation and names the owner of the information.</w:t>
      </w:r>
    </w:p>
    <w:p w:rsidR="00000000" w:rsidDel="00000000" w:rsidP="00000000" w:rsidRDefault="00000000" w:rsidRPr="00000000" w14:paraId="0000000A">
      <w:pPr>
        <w:pStyle w:val="Heading2"/>
        <w:rPr/>
      </w:pPr>
      <w:r w:rsidDel="00000000" w:rsidR="00000000" w:rsidRPr="00000000">
        <w:rPr>
          <w:rtl w:val="0"/>
        </w:rPr>
        <w:t xml:space="preserve">Learning objectives</w:t>
      </w:r>
    </w:p>
    <w:p w:rsidR="00000000" w:rsidDel="00000000" w:rsidP="00000000" w:rsidRDefault="00000000" w:rsidRPr="00000000" w14:paraId="0000000B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Explain the core purpose of Delaware-specific college navigation in their own words.</w:t>
      </w:r>
    </w:p>
    <w:p w:rsidR="00000000" w:rsidDel="00000000" w:rsidP="00000000" w:rsidRDefault="00000000" w:rsidRPr="00000000" w14:paraId="0000000C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Separate stable guidance from details that must be verified.</w:t>
      </w:r>
    </w:p>
    <w:p w:rsidR="00000000" w:rsidDel="00000000" w:rsidP="00000000" w:rsidRDefault="00000000" w:rsidRPr="00000000" w14:paraId="0000000D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Choose and document an appropriate next action and follow-up date.</w:t>
      </w:r>
    </w:p>
    <w:p w:rsidR="00000000" w:rsidDel="00000000" w:rsidP="00000000" w:rsidRDefault="00000000" w:rsidRPr="00000000" w14:paraId="0000000E">
      <w:pPr>
        <w:pStyle w:val="Heading2"/>
        <w:rPr/>
      </w:pPr>
      <w:r w:rsidDel="00000000" w:rsidR="00000000" w:rsidRPr="00000000">
        <w:rPr>
          <w:rtl w:val="0"/>
        </w:rPr>
        <w:t xml:space="preserve">Lesson sequence</w:t>
      </w:r>
    </w:p>
    <w:p w:rsidR="00000000" w:rsidDel="00000000" w:rsidP="00000000" w:rsidRDefault="00000000" w:rsidRPr="00000000" w14:paraId="0000000F">
      <w:pPr>
        <w:keepLines w:val="1"/>
        <w:numPr>
          <w:ilvl w:val="0"/>
          <w:numId w:val="2"/>
        </w:numPr>
        <w:ind w:left="540" w:hanging="270"/>
        <w:rPr/>
      </w:pPr>
      <w:r w:rsidDel="00000000" w:rsidR="00000000" w:rsidRPr="00000000">
        <w:rPr>
          <w:rtl w:val="0"/>
        </w:rPr>
        <w:t xml:space="preserve">Launch (5 minutes): Ask what students already know or wonder about Delaware-specific college navigation.</w:t>
      </w:r>
    </w:p>
    <w:p w:rsidR="00000000" w:rsidDel="00000000" w:rsidP="00000000" w:rsidRDefault="00000000" w:rsidRPr="00000000" w14:paraId="00000010">
      <w:pPr>
        <w:keepLines w:val="1"/>
        <w:numPr>
          <w:ilvl w:val="0"/>
          <w:numId w:val="2"/>
        </w:numPr>
        <w:ind w:left="540" w:hanging="270"/>
        <w:rPr/>
      </w:pPr>
      <w:r w:rsidDel="00000000" w:rsidR="00000000" w:rsidRPr="00000000">
        <w:rPr>
          <w:rtl w:val="0"/>
        </w:rPr>
        <w:t xml:space="preserve">Model (8 minutes): Demonstrate how to find the information owner and identify the date on an official source.</w:t>
      </w:r>
    </w:p>
    <w:p w:rsidR="00000000" w:rsidDel="00000000" w:rsidP="00000000" w:rsidRDefault="00000000" w:rsidRPr="00000000" w14:paraId="00000011">
      <w:pPr>
        <w:keepLines w:val="1"/>
        <w:numPr>
          <w:ilvl w:val="0"/>
          <w:numId w:val="2"/>
        </w:numPr>
        <w:ind w:left="540" w:hanging="270"/>
        <w:rPr/>
      </w:pPr>
      <w:r w:rsidDel="00000000" w:rsidR="00000000" w:rsidRPr="00000000">
        <w:rPr>
          <w:rtl w:val="0"/>
        </w:rPr>
        <w:t xml:space="preserve">Explore (15 minutes): Students review the key points and apply them to a realistic planning scenario.</w:t>
      </w:r>
    </w:p>
    <w:p w:rsidR="00000000" w:rsidDel="00000000" w:rsidP="00000000" w:rsidRDefault="00000000" w:rsidRPr="00000000" w14:paraId="00000012">
      <w:pPr>
        <w:keepLines w:val="1"/>
        <w:numPr>
          <w:ilvl w:val="0"/>
          <w:numId w:val="2"/>
        </w:numPr>
        <w:ind w:left="540" w:hanging="270"/>
        <w:rPr/>
      </w:pPr>
      <w:r w:rsidDel="00000000" w:rsidR="00000000" w:rsidRPr="00000000">
        <w:rPr>
          <w:rtl w:val="0"/>
        </w:rPr>
        <w:t xml:space="preserve">Plan (10 minutes): Students complete the action sequence below and record what still needs verification.</w:t>
      </w:r>
    </w:p>
    <w:p w:rsidR="00000000" w:rsidDel="00000000" w:rsidP="00000000" w:rsidRDefault="00000000" w:rsidRPr="00000000" w14:paraId="00000013">
      <w:pPr>
        <w:keepLines w:val="1"/>
        <w:numPr>
          <w:ilvl w:val="0"/>
          <w:numId w:val="2"/>
        </w:numPr>
        <w:ind w:left="540" w:hanging="270"/>
        <w:rPr/>
      </w:pPr>
      <w:r w:rsidDel="00000000" w:rsidR="00000000" w:rsidRPr="00000000">
        <w:rPr>
          <w:rtl w:val="0"/>
        </w:rPr>
        <w:t xml:space="preserve">Exit ticket (5 minutes): Students name one next step, one owner, and one check-back date.</w:t>
      </w:r>
    </w:p>
    <w:p w:rsidR="00000000" w:rsidDel="00000000" w:rsidP="00000000" w:rsidRDefault="00000000" w:rsidRPr="00000000" w14:paraId="00000014">
      <w:pPr>
        <w:pStyle w:val="Heading2"/>
        <w:rPr/>
      </w:pPr>
      <w:r w:rsidDel="00000000" w:rsidR="00000000" w:rsidRPr="00000000">
        <w:rPr>
          <w:rtl w:val="0"/>
        </w:rPr>
        <w:t xml:space="preserve">Student action sequence</w:t>
      </w:r>
    </w:p>
    <w:p w:rsidR="00000000" w:rsidDel="00000000" w:rsidP="00000000" w:rsidRDefault="00000000" w:rsidRPr="00000000" w14:paraId="00000015">
      <w:pPr>
        <w:keepLines w:val="1"/>
        <w:numPr>
          <w:ilvl w:val="0"/>
          <w:numId w:val="1"/>
        </w:numPr>
        <w:spacing w:after="0" w:afterAutospacing="0"/>
        <w:ind w:left="540" w:hanging="270"/>
        <w:rPr>
          <w:u w:val="none"/>
        </w:rPr>
      </w:pPr>
      <w:r w:rsidDel="00000000" w:rsidR="00000000" w:rsidRPr="00000000">
        <w:rPr>
          <w:rtl w:val="0"/>
        </w:rPr>
        <w:t xml:space="preserve">Define the student's academic, career, financial, personal, and support priorities.</w:t>
      </w:r>
    </w:p>
    <w:p w:rsidR="00000000" w:rsidDel="00000000" w:rsidP="00000000" w:rsidRDefault="00000000" w:rsidRPr="00000000" w14:paraId="00000016">
      <w:pPr>
        <w:keepLines w:val="1"/>
        <w:numPr>
          <w:ilvl w:val="0"/>
          <w:numId w:val="1"/>
        </w:numPr>
        <w:spacing w:after="0" w:afterAutospacing="0"/>
        <w:ind w:left="540" w:hanging="270"/>
        <w:rPr>
          <w:u w:val="none"/>
        </w:rPr>
      </w:pPr>
      <w:r w:rsidDel="00000000" w:rsidR="00000000" w:rsidRPr="00000000">
        <w:rPr>
          <w:rtl w:val="0"/>
        </w:rPr>
        <w:t xml:space="preserve">Research approved institutions and program availability.</w:t>
      </w:r>
    </w:p>
    <w:p w:rsidR="00000000" w:rsidDel="00000000" w:rsidP="00000000" w:rsidRDefault="00000000" w:rsidRPr="00000000" w14:paraId="00000017">
      <w:pPr>
        <w:keepLines w:val="1"/>
        <w:numPr>
          <w:ilvl w:val="0"/>
          <w:numId w:val="1"/>
        </w:numPr>
        <w:spacing w:after="0" w:afterAutospacing="0"/>
        <w:ind w:left="540" w:hanging="270"/>
        <w:rPr>
          <w:u w:val="none"/>
        </w:rPr>
      </w:pPr>
      <w:r w:rsidDel="00000000" w:rsidR="00000000" w:rsidRPr="00000000">
        <w:rPr>
          <w:rtl w:val="0"/>
        </w:rPr>
        <w:t xml:space="preserve">Confirm institution admission and any separate program-entry requirements.</w:t>
      </w:r>
    </w:p>
    <w:p w:rsidR="00000000" w:rsidDel="00000000" w:rsidP="00000000" w:rsidRDefault="00000000" w:rsidRPr="00000000" w14:paraId="00000018">
      <w:pPr>
        <w:keepLines w:val="1"/>
        <w:numPr>
          <w:ilvl w:val="0"/>
          <w:numId w:val="1"/>
        </w:numPr>
        <w:spacing w:after="0" w:afterAutospacing="0"/>
        <w:ind w:left="540" w:hanging="270"/>
        <w:rPr>
          <w:u w:val="none"/>
        </w:rPr>
      </w:pPr>
      <w:r w:rsidDel="00000000" w:rsidR="00000000" w:rsidRPr="00000000">
        <w:rPr>
          <w:rtl w:val="0"/>
        </w:rPr>
        <w:t xml:space="preserve">Compare the full financial picture, including aid, remaining cost, housing, transportation, and fees.</w:t>
      </w:r>
    </w:p>
    <w:p w:rsidR="00000000" w:rsidDel="00000000" w:rsidP="00000000" w:rsidRDefault="00000000" w:rsidRPr="00000000" w14:paraId="00000019">
      <w:pPr>
        <w:keepLines w:val="1"/>
        <w:numPr>
          <w:ilvl w:val="0"/>
          <w:numId w:val="1"/>
        </w:numPr>
        <w:spacing w:after="0" w:afterAutospacing="0"/>
        <w:ind w:left="540" w:hanging="270"/>
        <w:rPr>
          <w:u w:val="none"/>
        </w:rPr>
      </w:pPr>
      <w:r w:rsidDel="00000000" w:rsidR="00000000" w:rsidRPr="00000000">
        <w:rPr>
          <w:rtl w:val="0"/>
        </w:rPr>
        <w:t xml:space="preserve">Test the student experience through visits, information sessions, and support-office contacts.</w:t>
      </w:r>
    </w:p>
    <w:p w:rsidR="00000000" w:rsidDel="00000000" w:rsidP="00000000" w:rsidRDefault="00000000" w:rsidRPr="00000000" w14:paraId="0000001A">
      <w:pPr>
        <w:keepLines w:val="1"/>
        <w:numPr>
          <w:ilvl w:val="0"/>
          <w:numId w:val="1"/>
        </w:numPr>
        <w:ind w:left="540" w:hanging="270"/>
        <w:rPr>
          <w:u w:val="none"/>
        </w:rPr>
      </w:pPr>
      <w:r w:rsidDel="00000000" w:rsidR="00000000" w:rsidRPr="00000000">
        <w:rPr>
          <w:rtl w:val="0"/>
        </w:rPr>
        <w:t xml:space="preserve">Compare outcomes and transfer or connected-degree routes where relevant.</w:t>
      </w:r>
    </w:p>
    <w:p w:rsidR="00000000" w:rsidDel="00000000" w:rsidP="00000000" w:rsidRDefault="00000000" w:rsidRPr="00000000" w14:paraId="0000001B">
      <w:pPr>
        <w:pStyle w:val="Heading2"/>
        <w:rPr/>
      </w:pPr>
      <w:r w:rsidDel="00000000" w:rsidR="00000000" w:rsidRPr="00000000">
        <w:rPr>
          <w:rtl w:val="0"/>
        </w:rPr>
        <w:t xml:space="preserve">Teacher prompts</w:t>
      </w:r>
    </w:p>
    <w:p w:rsidR="00000000" w:rsidDel="00000000" w:rsidP="00000000" w:rsidRDefault="00000000" w:rsidRPr="00000000" w14:paraId="0000001C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Which part of this guidance is stable across settings?</w:t>
      </w:r>
    </w:p>
    <w:p w:rsidR="00000000" w:rsidDel="00000000" w:rsidP="00000000" w:rsidRDefault="00000000" w:rsidRPr="00000000" w14:paraId="0000001D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Which detail could change by student, school, program, employer, or date?</w:t>
      </w:r>
    </w:p>
    <w:p w:rsidR="00000000" w:rsidDel="00000000" w:rsidP="00000000" w:rsidRDefault="00000000" w:rsidRPr="00000000" w14:paraId="0000001E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Who owns the answer, and how will you document what you learn?</w:t>
      </w:r>
    </w:p>
    <w:p w:rsidR="00000000" w:rsidDel="00000000" w:rsidP="00000000" w:rsidRDefault="00000000" w:rsidRPr="00000000" w14:paraId="0000001F">
      <w:pPr>
        <w:pStyle w:val="Heading2"/>
        <w:rPr/>
      </w:pPr>
      <w:r w:rsidDel="00000000" w:rsidR="00000000" w:rsidRPr="00000000">
        <w:rPr>
          <w:rtl w:val="0"/>
        </w:rPr>
        <w:t xml:space="preserve">Access, differentiation, and extension</w:t>
      </w:r>
    </w:p>
    <w:p w:rsidR="00000000" w:rsidDel="00000000" w:rsidP="00000000" w:rsidRDefault="00000000" w:rsidRPr="00000000" w14:paraId="00000020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Read key source language aloud and provide a plain-language summary.</w:t>
      </w:r>
    </w:p>
    <w:p w:rsidR="00000000" w:rsidDel="00000000" w:rsidP="00000000" w:rsidRDefault="00000000" w:rsidRPr="00000000" w14:paraId="00000021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Allow students to respond orally, in writing, or through a counselor-supported planning conversation.</w:t>
      </w:r>
    </w:p>
    <w:p w:rsidR="00000000" w:rsidDel="00000000" w:rsidP="00000000" w:rsidRDefault="00000000" w:rsidRPr="00000000" w14:paraId="00000022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Pair students for source navigation while requiring each student to record an individual next step.</w:t>
      </w:r>
    </w:p>
    <w:p w:rsidR="00000000" w:rsidDel="00000000" w:rsidP="00000000" w:rsidRDefault="00000000" w:rsidRPr="00000000" w14:paraId="00000023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Extend the lesson by comparing two verified routes or resources and naming the decision criteria.</w:t>
      </w:r>
    </w:p>
    <w:p w:rsidR="00000000" w:rsidDel="00000000" w:rsidP="00000000" w:rsidRDefault="00000000" w:rsidRPr="00000000" w14:paraId="00000024">
      <w:pPr>
        <w:pStyle w:val="Heading2"/>
        <w:rPr/>
      </w:pPr>
      <w:r w:rsidDel="00000000" w:rsidR="00000000" w:rsidRPr="00000000">
        <w:rPr>
          <w:rtl w:val="0"/>
        </w:rPr>
        <w:t xml:space="preserve">Facilitator boundaries</w:t>
      </w:r>
    </w:p>
    <w:p w:rsidR="00000000" w:rsidDel="00000000" w:rsidP="00000000" w:rsidRDefault="00000000" w:rsidRPr="00000000" w14:paraId="00000025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Do not present one Delaware institution as the best choice for every student.</w:t>
      </w:r>
    </w:p>
    <w:p w:rsidR="00000000" w:rsidDel="00000000" w:rsidP="00000000" w:rsidRDefault="00000000" w:rsidRPr="00000000" w14:paraId="00000026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Do not promise admission, program entry, state aid, regional tuition status, transfer credit, or affordability.</w:t>
      </w:r>
    </w:p>
    <w:p w:rsidR="00000000" w:rsidDel="00000000" w:rsidP="00000000" w:rsidRDefault="00000000" w:rsidRPr="00000000" w14:paraId="00000027">
      <w:pPr>
        <w:rPr/>
      </w:pPr>
      <w:r w:rsidDel="00000000" w:rsidR="00000000" w:rsidRPr="00000000">
        <w:rPr>
          <w:rtl w:val="0"/>
        </w:rPr>
        <w:t xml:space="preserve">Do not promise eligibility, admission, placement, funding, timing, or program availability. Use current official sources and local policy before presenting a specific requirement as fact.</w:t>
      </w:r>
    </w:p>
    <w:p w:rsidR="00000000" w:rsidDel="00000000" w:rsidP="00000000" w:rsidRDefault="00000000" w:rsidRPr="00000000" w14:paraId="00000028">
      <w:pPr>
        <w:pStyle w:val="Heading2"/>
        <w:rPr/>
      </w:pPr>
      <w:r w:rsidDel="00000000" w:rsidR="00000000" w:rsidRPr="00000000">
        <w:rPr>
          <w:rtl w:val="0"/>
        </w:rPr>
        <w:t xml:space="preserve">Sources and verification</w:t>
      </w:r>
    </w:p>
    <w:p w:rsidR="00000000" w:rsidDel="00000000" w:rsidP="00000000" w:rsidRDefault="00000000" w:rsidRPr="00000000" w14:paraId="0000002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7085"/>
          <w:sz w:val="17"/>
          <w:szCs w:val="17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7085"/>
          <w:sz w:val="17"/>
          <w:szCs w:val="17"/>
          <w:u w:val="none"/>
          <w:shd w:fill="auto" w:val="clear"/>
          <w:vertAlign w:val="baseline"/>
          <w:rtl w:val="0"/>
        </w:rPr>
        <w:t xml:space="preserve">Use the linked official sources to confirm current details before release or student use.</w:t>
      </w:r>
    </w:p>
    <w:p w:rsidR="00000000" w:rsidDel="00000000" w:rsidP="00000000" w:rsidRDefault="00000000" w:rsidRPr="00000000" w14:paraId="0000002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7085"/>
          <w:sz w:val="17"/>
          <w:szCs w:val="17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1. </w:t>
      </w:r>
      <w:hyperlink r:id="rId8">
        <w:r w:rsidDel="00000000" w:rsidR="00000000" w:rsidRPr="00000000">
          <w:rPr>
            <w:rFonts w:ascii="Arial" w:cs="Arial" w:eastAsia="Arial" w:hAnsi="Arial"/>
            <w:b w:val="0"/>
            <w:bCs w:val="0"/>
            <w:i w:val="0"/>
            <w:iCs w:val="0"/>
            <w:smallCaps w:val="0"/>
            <w:strike w:val="0"/>
            <w:color w:val="1d4289"/>
            <w:sz w:val="18"/>
            <w:szCs w:val="18"/>
            <w:u w:val="single"/>
            <w:shd w:fill="auto" w:val="clear"/>
            <w:vertAlign w:val="baseline"/>
            <w:rtl w:val="0"/>
          </w:rPr>
          <w:t xml:space="preserve">Delaware Department of Education: Official Resource</w:t>
        </w:r>
      </w:hyperlink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   |  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2. </w:t>
      </w:r>
      <w:hyperlink r:id="rId9">
        <w:r w:rsidDel="00000000" w:rsidR="00000000" w:rsidRPr="00000000">
          <w:rPr>
            <w:rFonts w:ascii="Arial" w:cs="Arial" w:eastAsia="Arial" w:hAnsi="Arial"/>
            <w:b w:val="0"/>
            <w:bCs w:val="0"/>
            <w:i w:val="0"/>
            <w:iCs w:val="0"/>
            <w:smallCaps w:val="0"/>
            <w:strike w:val="0"/>
            <w:color w:val="1d4289"/>
            <w:sz w:val="18"/>
            <w:szCs w:val="18"/>
            <w:u w:val="single"/>
            <w:shd w:fill="auto" w:val="clear"/>
            <w:vertAlign w:val="baseline"/>
            <w:rtl w:val="0"/>
          </w:rPr>
          <w:t xml:space="preserve">Delaware Department of Education: Official Resource</w:t>
        </w:r>
      </w:hyperlink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   |  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3. </w:t>
      </w:r>
      <w:hyperlink r:id="rId10">
        <w:r w:rsidDel="00000000" w:rsidR="00000000" w:rsidRPr="00000000">
          <w:rPr>
            <w:rFonts w:ascii="Arial" w:cs="Arial" w:eastAsia="Arial" w:hAnsi="Arial"/>
            <w:b w:val="0"/>
            <w:bCs w:val="0"/>
            <w:i w:val="0"/>
            <w:iCs w:val="0"/>
            <w:smallCaps w:val="0"/>
            <w:strike w:val="0"/>
            <w:color w:val="1d4289"/>
            <w:sz w:val="18"/>
            <w:szCs w:val="18"/>
            <w:u w:val="single"/>
            <w:shd w:fill="auto" w:val="clear"/>
            <w:vertAlign w:val="baseline"/>
            <w:rtl w:val="0"/>
          </w:rPr>
          <w:t xml:space="preserve">Delawarestudentsuccess: Official Resource</w:t>
        </w:r>
      </w:hyperlink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   |  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4. </w:t>
      </w:r>
      <w:hyperlink r:id="rId11">
        <w:r w:rsidDel="00000000" w:rsidR="00000000" w:rsidRPr="00000000">
          <w:rPr>
            <w:rFonts w:ascii="Arial" w:cs="Arial" w:eastAsia="Arial" w:hAnsi="Arial"/>
            <w:b w:val="0"/>
            <w:bCs w:val="0"/>
            <w:i w:val="0"/>
            <w:iCs w:val="0"/>
            <w:smallCaps w:val="0"/>
            <w:strike w:val="0"/>
            <w:color w:val="1d4289"/>
            <w:sz w:val="18"/>
            <w:szCs w:val="18"/>
            <w:u w:val="single"/>
            <w:shd w:fill="auto" w:val="clear"/>
            <w:vertAlign w:val="baseline"/>
            <w:rtl w:val="0"/>
          </w:rPr>
          <w:t xml:space="preserve">Delawarestudentsuccess: Official Resource</w:t>
        </w:r>
      </w:hyperlink>
      <w:r w:rsidDel="00000000" w:rsidR="00000000" w:rsidRPr="00000000">
        <w:rPr>
          <w:rtl w:val="0"/>
        </w:rPr>
      </w:r>
    </w:p>
    <w:sectPr>
      <w:headerReference r:id="rId12" w:type="default"/>
      <w:footerReference r:id="rId13" w:type="default"/>
      <w:pgSz w:h="15840" w:w="12240" w:orient="portrait"/>
      <w:pgMar w:bottom="1152" w:top="1152" w:left="1152" w:right="1152" w:header="490" w:footer="49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Calibri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C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center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1f2937"/>
        <w:sz w:val="21"/>
        <w:szCs w:val="21"/>
        <w:u w:val="none"/>
        <w:shd w:fill="auto" w:val="clear"/>
        <w:vertAlign w:val="baseline"/>
      </w:rPr>
    </w:pPr>
    <w:r w:rsidDel="00000000" w:rsidR="00000000" w:rsidRPr="00000000"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667085"/>
        <w:sz w:val="15"/>
        <w:szCs w:val="15"/>
        <w:u w:val="none"/>
        <w:shd w:fill="auto" w:val="clear"/>
        <w:vertAlign w:val="baseline"/>
        <w:rtl w:val="0"/>
      </w:rPr>
      <w:t xml:space="preserve">12 Delaware-Specific College Navigation  |  Page </w:t>
    </w:r>
    <w:r w:rsidDel="00000000" w:rsidR="00000000" w:rsidRPr="00000000"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1f2937"/>
        <w:sz w:val="21"/>
        <w:szCs w:val="21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B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right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1f2937"/>
        <w:sz w:val="21"/>
        <w:szCs w:val="21"/>
        <w:u w:val="none"/>
        <w:shd w:fill="auto" w:val="clear"/>
        <w:vertAlign w:val="baseline"/>
      </w:rPr>
    </w:pPr>
    <w:r w:rsidDel="00000000" w:rsidR="00000000" w:rsidRPr="00000000">
      <w:rPr>
        <w:rFonts w:ascii="Arial" w:cs="Arial" w:eastAsia="Arial" w:hAnsi="Arial"/>
        <w:b w:val="1"/>
        <w:bCs w:val="1"/>
        <w:i w:val="0"/>
        <w:iCs w:val="0"/>
        <w:smallCaps w:val="0"/>
        <w:strike w:val="0"/>
        <w:color w:val="667085"/>
        <w:sz w:val="16"/>
        <w:szCs w:val="16"/>
        <w:u w:val="none"/>
        <w:shd w:fill="auto" w:val="clear"/>
        <w:vertAlign w:val="baseline"/>
        <w:rtl w:val="0"/>
      </w:rPr>
      <w:t xml:space="preserve">LAUNCH INTO YOUR FUTURE  |  CURRICULUM UNIT</w:t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•"/>
      <w:lvlJc w:val="left"/>
      <w:pPr>
        <w:ind w:left="540" w:hanging="270"/>
      </w:pPr>
      <w:rPr>
        <w:rFonts w:ascii="Arial" w:cs="Arial" w:eastAsia="Arial" w:hAnsi="Arial"/>
      </w:rPr>
    </w:lvl>
    <w:lvl w:ilvl="1">
      <w:start w:val="1"/>
      <w:numFmt w:val="bullet"/>
      <w:lvlText w:val=""/>
      <w:lvlJc w:val="left"/>
      <w:pPr>
        <w:ind w:left="0" w:firstLine="0"/>
      </w:pPr>
      <w:rPr/>
    </w:lvl>
    <w:lvl w:ilvl="2">
      <w:start w:val="1"/>
      <w:numFmt w:val="bullet"/>
      <w:lvlText w:val=""/>
      <w:lvlJc w:val="left"/>
      <w:pPr>
        <w:ind w:left="0" w:firstLine="0"/>
      </w:pPr>
      <w:rPr/>
    </w:lvl>
    <w:lvl w:ilvl="3">
      <w:start w:val="1"/>
      <w:numFmt w:val="bullet"/>
      <w:lvlText w:val=""/>
      <w:lvlJc w:val="left"/>
      <w:pPr>
        <w:ind w:left="0" w:firstLine="0"/>
      </w:pPr>
      <w:rPr/>
    </w:lvl>
    <w:lvl w:ilvl="4">
      <w:start w:val="1"/>
      <w:numFmt w:val="bullet"/>
      <w:lvlText w:val=""/>
      <w:lvlJc w:val="left"/>
      <w:pPr>
        <w:ind w:left="0" w:firstLine="0"/>
      </w:pPr>
      <w:rPr/>
    </w:lvl>
    <w:lvl w:ilvl="5">
      <w:start w:val="1"/>
      <w:numFmt w:val="bullet"/>
      <w:lvlText w:val=""/>
      <w:lvlJc w:val="left"/>
      <w:pPr>
        <w:ind w:left="0" w:firstLine="0"/>
      </w:pPr>
      <w:rPr/>
    </w:lvl>
    <w:lvl w:ilvl="6">
      <w:start w:val="1"/>
      <w:numFmt w:val="bullet"/>
      <w:lvlText w:val=""/>
      <w:lvlJc w:val="left"/>
      <w:pPr>
        <w:ind w:left="0" w:firstLine="0"/>
      </w:pPr>
      <w:rPr/>
    </w:lvl>
    <w:lvl w:ilvl="7">
      <w:start w:val="1"/>
      <w:numFmt w:val="bullet"/>
      <w:lvlText w:val=""/>
      <w:lvlJc w:val="left"/>
      <w:pPr>
        <w:ind w:left="0" w:firstLine="0"/>
      </w:pPr>
      <w:rPr/>
    </w:lvl>
    <w:lvl w:ilvl="8">
      <w:start w:val="1"/>
      <w:numFmt w:val="bullet"/>
      <w:lvlText w:val=""/>
      <w:lvlJc w:val="left"/>
      <w:pPr>
        <w:ind w:left="0" w:firstLine="0"/>
      </w:pPr>
      <w:rPr/>
    </w:lvl>
  </w:abstractNum>
  <w:abstractNum w:abstractNumId="2">
    <w:lvl w:ilvl="0">
      <w:start w:val="1"/>
      <w:numFmt w:val="decimal"/>
      <w:lvlText w:val="%1."/>
      <w:lvlJc w:val="left"/>
      <w:pPr>
        <w:ind w:left="540" w:hanging="270"/>
      </w:pPr>
      <w:rPr>
        <w:rFonts w:ascii="Arial" w:cs="Arial" w:eastAsia="Arial" w:hAnsi="Arial"/>
      </w:rPr>
    </w:lvl>
    <w:lvl w:ilvl="1">
      <w:start w:val="1"/>
      <w:numFmt w:val="bullet"/>
      <w:lvlText w:val=""/>
      <w:lvlJc w:val="left"/>
      <w:pPr>
        <w:ind w:left="0" w:firstLine="0"/>
      </w:pPr>
      <w:rPr/>
    </w:lvl>
    <w:lvl w:ilvl="2">
      <w:start w:val="1"/>
      <w:numFmt w:val="bullet"/>
      <w:lvlText w:val=""/>
      <w:lvlJc w:val="left"/>
      <w:pPr>
        <w:ind w:left="0" w:firstLine="0"/>
      </w:pPr>
      <w:rPr/>
    </w:lvl>
    <w:lvl w:ilvl="3">
      <w:start w:val="1"/>
      <w:numFmt w:val="bullet"/>
      <w:lvlText w:val=""/>
      <w:lvlJc w:val="left"/>
      <w:pPr>
        <w:ind w:left="0" w:firstLine="0"/>
      </w:pPr>
      <w:rPr/>
    </w:lvl>
    <w:lvl w:ilvl="4">
      <w:start w:val="1"/>
      <w:numFmt w:val="bullet"/>
      <w:lvlText w:val=""/>
      <w:lvlJc w:val="left"/>
      <w:pPr>
        <w:ind w:left="0" w:firstLine="0"/>
      </w:pPr>
      <w:rPr/>
    </w:lvl>
    <w:lvl w:ilvl="5">
      <w:start w:val="1"/>
      <w:numFmt w:val="bullet"/>
      <w:lvlText w:val=""/>
      <w:lvlJc w:val="left"/>
      <w:pPr>
        <w:ind w:left="0" w:firstLine="0"/>
      </w:pPr>
      <w:rPr/>
    </w:lvl>
    <w:lvl w:ilvl="6">
      <w:start w:val="1"/>
      <w:numFmt w:val="bullet"/>
      <w:lvlText w:val=""/>
      <w:lvlJc w:val="left"/>
      <w:pPr>
        <w:ind w:left="0" w:firstLine="0"/>
      </w:pPr>
      <w:rPr/>
    </w:lvl>
    <w:lvl w:ilvl="7">
      <w:start w:val="1"/>
      <w:numFmt w:val="bullet"/>
      <w:lvlText w:val=""/>
      <w:lvlJc w:val="left"/>
      <w:pPr>
        <w:ind w:left="0" w:firstLine="0"/>
      </w:pPr>
      <w:rPr/>
    </w:lvl>
    <w:lvl w:ilvl="8">
      <w:start w:val="1"/>
      <w:numFmt w:val="bullet"/>
      <w:lvlText w:val=""/>
      <w:lvlJc w:val="left"/>
      <w:pPr>
        <w:ind w:left="0" w:firstLine="0"/>
      </w:pPr>
      <w:rPr/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color w:val="1f2937"/>
        <w:sz w:val="21"/>
        <w:szCs w:val="21"/>
        <w:lang w:val="en"/>
      </w:rPr>
    </w:rPrDefault>
    <w:pPrDefault>
      <w:pPr>
        <w:spacing w:after="80" w:line="283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40" w:before="240" w:line="250" w:lineRule="auto"/>
    </w:pPr>
    <w:rPr>
      <w:rFonts w:ascii="Arial" w:cs="Arial" w:eastAsia="Arial" w:hAnsi="Arial"/>
      <w:b w:val="1"/>
      <w:bCs w:val="1"/>
      <w:color w:val="1d4289"/>
      <w:sz w:val="30"/>
      <w:szCs w:val="30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180" w:line="250" w:lineRule="auto"/>
    </w:pPr>
    <w:rPr>
      <w:rFonts w:ascii="Arial" w:cs="Arial" w:eastAsia="Arial" w:hAnsi="Arial"/>
      <w:b w:val="1"/>
      <w:bCs w:val="1"/>
      <w:color w:val="1d4289"/>
      <w:sz w:val="24"/>
      <w:szCs w:val="24"/>
    </w:rPr>
  </w:style>
  <w:style w:type="paragraph" w:styleId="Heading3">
    <w:name w:val="heading 3"/>
    <w:basedOn w:val="Normal"/>
    <w:next w:val="Normal"/>
    <w:pPr>
      <w:keepNext w:val="1"/>
      <w:keepLines w:val="1"/>
      <w:spacing w:after="100" w:before="200" w:line="259" w:lineRule="auto"/>
    </w:pPr>
    <w:rPr>
      <w:rFonts w:ascii="Arial" w:cs="Arial" w:eastAsia="Arial" w:hAnsi="Arial"/>
      <w:b w:val="1"/>
      <w:bCs w:val="1"/>
      <w:color w:val="274c77"/>
      <w:sz w:val="24"/>
      <w:szCs w:val="24"/>
    </w:rPr>
  </w:style>
  <w:style w:type="paragraph" w:styleId="Heading4">
    <w:name w:val="heading 4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i w:val="1"/>
      <w:iCs w:val="1"/>
      <w:color w:val="4f81bd"/>
    </w:rPr>
  </w:style>
  <w:style w:type="paragraph" w:styleId="Heading5">
    <w:name w:val="heading 5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color w:val="243f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i w:val="1"/>
      <w:iCs w:val="1"/>
      <w:color w:val="243f61"/>
    </w:rPr>
  </w:style>
  <w:style w:type="paragraph" w:styleId="Title">
    <w:name w:val="Title"/>
    <w:basedOn w:val="Normal"/>
    <w:next w:val="Normal"/>
    <w:pPr>
      <w:keepNext w:val="1"/>
      <w:pBdr>
        <w:bottom w:color="4f81bd" w:space="4" w:sz="8" w:val="single"/>
      </w:pBdr>
      <w:spacing w:after="80" w:before="0" w:line="240" w:lineRule="auto"/>
    </w:pPr>
    <w:rPr>
      <w:rFonts w:ascii="Arial" w:cs="Arial" w:eastAsia="Arial" w:hAnsi="Arial"/>
      <w:b w:val="1"/>
      <w:bCs w:val="1"/>
      <w:color w:val="1d4289"/>
      <w:sz w:val="46"/>
      <w:szCs w:val="46"/>
    </w:rPr>
  </w:style>
  <w:style w:type="paragraph" w:styleId="Header">
    <w:name w:val="header"/>
    <w:basedOn w:val="Normal"/>
    <w:link w:val="HeaderChar"/>
    <w:uiPriority w:val="99"/>
    <w:unhideWhenUsed w:val="1"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 w:val="1"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E618BF"/>
  </w:style>
  <w:style w:type="paragraph" w:styleId="Heading7">
    <w:name w:val="heading 7"/>
    <w:basedOn w:val="Normal"/>
    <w:next w:val="Normal"/>
    <w:link w:val="Heading7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6"/>
    </w:pPr>
    <w:rPr>
      <w:rFonts w:asciiTheme="majorHAnsi" w:cstheme="majorBidi" w:eastAsiaTheme="majorEastAsia" w:hAnsiTheme="majorHAnsi"/>
      <w:i w:val="1"/>
      <w:iCs w:val="1"/>
      <w:color w:val="404040" w:themeColor="text1" w:themeTint="0000BF"/>
    </w:rPr>
  </w:style>
  <w:style w:type="paragraph" w:styleId="Heading8">
    <w:name w:val="heading 8"/>
    <w:basedOn w:val="Normal"/>
    <w:next w:val="Normal"/>
    <w:link w:val="Heading8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7"/>
    </w:pPr>
    <w:rPr>
      <w:rFonts w:asciiTheme="majorHAnsi" w:cstheme="majorBidi" w:eastAsiaTheme="majorEastAsia" w:hAnsiTheme="majorHAns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8"/>
    </w:pPr>
    <w:rPr>
      <w:rFonts w:asciiTheme="majorHAnsi" w:cstheme="majorBidi" w:eastAsiaTheme="majorEastAsia" w:hAnsiTheme="majorHAnsi"/>
      <w:i w:val="1"/>
      <w:iCs w:val="1"/>
      <w:color w:val="404040" w:themeColor="text1" w:themeTint="0000BF"/>
      <w:sz w:val="20"/>
      <w:szCs w:val="20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NoSpacing">
    <w:name w:val="No Spacing"/>
    <w:uiPriority w:val="1"/>
    <w:qFormat w:val="1"/>
    <w:rsid w:val="00FC693F"/>
    <w:pPr>
      <w:spacing w:after="0" w:line="240" w:lineRule="auto"/>
    </w:pPr>
  </w:style>
  <w:style w:type="character" w:styleId="Heading1Char" w:customStyle="1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 w:val="1"/>
      <w:bCs w:val="1"/>
      <w:color w:val="365f91" w:themeColor="accent1" w:themeShade="0000BF"/>
      <w:sz w:val="28"/>
      <w:szCs w:val="28"/>
    </w:rPr>
  </w:style>
  <w:style w:type="character" w:styleId="Heading2Char" w:customStyle="1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 w:val="1"/>
      <w:bCs w:val="1"/>
      <w:color w:val="4f81bd" w:themeColor="accent1"/>
      <w:sz w:val="26"/>
      <w:szCs w:val="26"/>
    </w:rPr>
  </w:style>
  <w:style w:type="character" w:styleId="Heading3Char" w:customStyle="1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 w:val="1"/>
      <w:bCs w:val="1"/>
      <w:color w:val="4f81bd" w:themeColor="accent1"/>
    </w:rPr>
  </w:style>
  <w:style w:type="character" w:styleId="TitleChar" w:customStyle="1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val="17365d" w:themeColor="text2" w:themeShade="0000BF"/>
      <w:spacing w:val="5"/>
      <w:kern w:val="28"/>
      <w:sz w:val="52"/>
      <w:szCs w:val="52"/>
    </w:rPr>
  </w:style>
  <w:style w:type="character" w:styleId="SubtitleChar" w:customStyle="1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 w:val="1"/>
      <w:iCs w:val="1"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 w:val="1"/>
    <w:rsid w:val="00FC693F"/>
    <w:pPr>
      <w:ind w:left="720"/>
      <w:contextualSpacing w:val="1"/>
    </w:pPr>
  </w:style>
  <w:style w:type="paragraph" w:styleId="BodyText">
    <w:name w:val="Body Text"/>
    <w:basedOn w:val="Normal"/>
    <w:link w:val="BodyTextChar"/>
    <w:uiPriority w:val="99"/>
    <w:unhideWhenUsed w:val="1"/>
    <w:rsid w:val="00AA1D8D"/>
    <w:pPr>
      <w:spacing w:after="120"/>
    </w:pPr>
  </w:style>
  <w:style w:type="character" w:styleId="BodyTextChar" w:customStyle="1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 w:val="1"/>
    <w:rsid w:val="00AA1D8D"/>
    <w:pPr>
      <w:spacing w:after="120" w:line="480" w:lineRule="auto"/>
    </w:pPr>
  </w:style>
  <w:style w:type="character" w:styleId="BodyText2Char" w:customStyle="1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 w:val="1"/>
    <w:rsid w:val="00AA1D8D"/>
    <w:pPr>
      <w:spacing w:after="120"/>
    </w:pPr>
    <w:rPr>
      <w:sz w:val="16"/>
      <w:szCs w:val="16"/>
    </w:rPr>
  </w:style>
  <w:style w:type="character" w:styleId="BodyText3Char" w:customStyle="1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 w:val="1"/>
    <w:rsid w:val="00AA1D8D"/>
    <w:pPr>
      <w:ind w:left="360" w:hanging="360"/>
      <w:contextualSpacing w:val="1"/>
    </w:pPr>
  </w:style>
  <w:style w:type="paragraph" w:styleId="List2">
    <w:name w:val="List 2"/>
    <w:basedOn w:val="Normal"/>
    <w:uiPriority w:val="99"/>
    <w:unhideWhenUsed w:val="1"/>
    <w:rsid w:val="00326F90"/>
    <w:pPr>
      <w:ind w:left="720" w:hanging="360"/>
      <w:contextualSpacing w:val="1"/>
    </w:pPr>
  </w:style>
  <w:style w:type="paragraph" w:styleId="List3">
    <w:name w:val="List 3"/>
    <w:basedOn w:val="Normal"/>
    <w:uiPriority w:val="99"/>
    <w:unhideWhenUsed w:val="1"/>
    <w:rsid w:val="00326F90"/>
    <w:pPr>
      <w:ind w:left="1080" w:hanging="360"/>
      <w:contextualSpacing w:val="1"/>
    </w:pPr>
  </w:style>
  <w:style w:type="paragraph" w:styleId="ListBullet">
    <w:name w:val="List Bullet"/>
    <w:basedOn w:val="Normal"/>
    <w:uiPriority w:val="99"/>
    <w:unhideWhenUsed w:val="1"/>
    <w:rsid w:val="00326F90"/>
    <w:pPr>
      <w:numPr>
        <w:numId w:val="1"/>
      </w:numPr>
      <w:contextualSpacing w:val="1"/>
    </w:pPr>
  </w:style>
  <w:style w:type="paragraph" w:styleId="ListBullet2">
    <w:name w:val="List Bullet 2"/>
    <w:basedOn w:val="Normal"/>
    <w:uiPriority w:val="99"/>
    <w:unhideWhenUsed w:val="1"/>
    <w:rsid w:val="00326F90"/>
    <w:pPr>
      <w:numPr>
        <w:numId w:val="2"/>
      </w:numPr>
      <w:contextualSpacing w:val="1"/>
    </w:pPr>
  </w:style>
  <w:style w:type="paragraph" w:styleId="ListBullet3">
    <w:name w:val="List Bullet 3"/>
    <w:basedOn w:val="Normal"/>
    <w:uiPriority w:val="99"/>
    <w:unhideWhenUsed w:val="1"/>
    <w:rsid w:val="00326F90"/>
    <w:pPr>
      <w:numPr>
        <w:numId w:val="3"/>
      </w:numPr>
      <w:contextualSpacing w:val="1"/>
    </w:pPr>
  </w:style>
  <w:style w:type="paragraph" w:styleId="ListNumber">
    <w:name w:val="List Number"/>
    <w:basedOn w:val="Normal"/>
    <w:uiPriority w:val="99"/>
    <w:unhideWhenUsed w:val="1"/>
    <w:rsid w:val="00326F90"/>
    <w:pPr>
      <w:numPr>
        <w:numId w:val="5"/>
      </w:numPr>
      <w:contextualSpacing w:val="1"/>
    </w:pPr>
  </w:style>
  <w:style w:type="paragraph" w:styleId="ListNumber2">
    <w:name w:val="List Number 2"/>
    <w:basedOn w:val="Normal"/>
    <w:uiPriority w:val="99"/>
    <w:unhideWhenUsed w:val="1"/>
    <w:rsid w:val="0029639D"/>
    <w:pPr>
      <w:numPr>
        <w:numId w:val="6"/>
      </w:numPr>
      <w:contextualSpacing w:val="1"/>
    </w:pPr>
  </w:style>
  <w:style w:type="paragraph" w:styleId="ListNumber3">
    <w:name w:val="List Number 3"/>
    <w:basedOn w:val="Normal"/>
    <w:uiPriority w:val="99"/>
    <w:unhideWhenUsed w:val="1"/>
    <w:rsid w:val="0029639D"/>
    <w:pPr>
      <w:numPr>
        <w:numId w:val="7"/>
      </w:numPr>
      <w:contextualSpacing w:val="1"/>
    </w:pPr>
  </w:style>
  <w:style w:type="paragraph" w:styleId="ListContinue">
    <w:name w:val="List Continue"/>
    <w:basedOn w:val="Normal"/>
    <w:uiPriority w:val="99"/>
    <w:unhideWhenUsed w:val="1"/>
    <w:rsid w:val="0029639D"/>
    <w:pPr>
      <w:spacing w:after="120"/>
      <w:ind w:left="360"/>
      <w:contextualSpacing w:val="1"/>
    </w:pPr>
  </w:style>
  <w:style w:type="paragraph" w:styleId="ListContinue2">
    <w:name w:val="List Continue 2"/>
    <w:basedOn w:val="Normal"/>
    <w:uiPriority w:val="99"/>
    <w:unhideWhenUsed w:val="1"/>
    <w:rsid w:val="0029639D"/>
    <w:pPr>
      <w:spacing w:after="120"/>
      <w:ind w:left="720"/>
      <w:contextualSpacing w:val="1"/>
    </w:pPr>
  </w:style>
  <w:style w:type="paragraph" w:styleId="ListContinue3">
    <w:name w:val="List Continue 3"/>
    <w:basedOn w:val="Normal"/>
    <w:uiPriority w:val="99"/>
    <w:unhideWhenUsed w:val="1"/>
    <w:rsid w:val="0029639D"/>
    <w:pPr>
      <w:spacing w:after="120"/>
      <w:ind w:left="1080"/>
      <w:contextualSpacing w:val="1"/>
    </w:pPr>
  </w:style>
  <w:style w:type="paragraph" w:styleId="MacroText">
    <w:name w:val="macro"/>
    <w:link w:val="MacroTextChar"/>
    <w:uiPriority w:val="99"/>
    <w:unhideWhenUsed w:val="1"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styleId="MacroTextChar" w:customStyle="1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 w:val="1"/>
    <w:rsid w:val="00FC693F"/>
    <w:rPr>
      <w:i w:val="1"/>
      <w:iCs w:val="1"/>
      <w:color w:val="000000" w:themeColor="text1"/>
    </w:rPr>
  </w:style>
  <w:style w:type="character" w:styleId="QuoteChar" w:customStyle="1">
    <w:name w:val="Quote Char"/>
    <w:basedOn w:val="DefaultParagraphFont"/>
    <w:link w:val="Quote"/>
    <w:uiPriority w:val="29"/>
    <w:rsid w:val="00FC693F"/>
    <w:rPr>
      <w:i w:val="1"/>
      <w:iCs w:val="1"/>
      <w:color w:val="000000" w:themeColor="text1"/>
    </w:rPr>
  </w:style>
  <w:style w:type="character" w:styleId="Heading4Char" w:customStyle="1">
    <w:name w:val="Heading 4 Char"/>
    <w:basedOn w:val="DefaultParagraphFont"/>
    <w:link w:val="Heading4"/>
    <w:uiPriority w:val="9"/>
    <w:semiHidden w:val="1"/>
    <w:rsid w:val="00FC693F"/>
    <w:rPr>
      <w:rFonts w:asciiTheme="majorHAnsi" w:cstheme="majorBidi" w:eastAsiaTheme="majorEastAsia" w:hAnsiTheme="majorHAnsi"/>
      <w:b w:val="1"/>
      <w:bCs w:val="1"/>
      <w:i w:val="1"/>
      <w:iCs w:val="1"/>
      <w:color w:val="4f81bd" w:themeColor="accent1"/>
    </w:rPr>
  </w:style>
  <w:style w:type="character" w:styleId="Heading5Char" w:customStyle="1">
    <w:name w:val="Heading 5 Char"/>
    <w:basedOn w:val="DefaultParagraphFont"/>
    <w:link w:val="Heading5"/>
    <w:uiPriority w:val="9"/>
    <w:semiHidden w:val="1"/>
    <w:rsid w:val="00FC693F"/>
    <w:rPr>
      <w:rFonts w:asciiTheme="majorHAnsi" w:cstheme="majorBidi" w:eastAsiaTheme="majorEastAsia" w:hAnsiTheme="majorHAnsi"/>
      <w:color w:val="243f60" w:themeColor="accent1" w:themeShade="00007F"/>
    </w:rPr>
  </w:style>
  <w:style w:type="character" w:styleId="Heading6Char" w:customStyle="1">
    <w:name w:val="Heading 6 Char"/>
    <w:basedOn w:val="DefaultParagraphFont"/>
    <w:link w:val="Heading6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243f60" w:themeColor="accent1" w:themeShade="00007F"/>
    </w:rPr>
  </w:style>
  <w:style w:type="character" w:styleId="Heading7Char" w:customStyle="1">
    <w:name w:val="Heading 7 Char"/>
    <w:basedOn w:val="DefaultParagraphFont"/>
    <w:link w:val="Heading7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404040" w:themeColor="text1" w:themeTint="0000BF"/>
    </w:rPr>
  </w:style>
  <w:style w:type="character" w:styleId="Heading8Char" w:customStyle="1">
    <w:name w:val="Heading 8 Char"/>
    <w:basedOn w:val="DefaultParagraphFont"/>
    <w:link w:val="Heading8"/>
    <w:uiPriority w:val="9"/>
    <w:semiHidden w:val="1"/>
    <w:rsid w:val="00FC693F"/>
    <w:rPr>
      <w:rFonts w:asciiTheme="majorHAnsi" w:cstheme="majorBidi" w:eastAsiaTheme="majorEastAsia" w:hAnsiTheme="majorHAnsi"/>
      <w:color w:val="4f81bd" w:themeColor="accent1"/>
      <w:sz w:val="20"/>
      <w:szCs w:val="20"/>
    </w:rPr>
  </w:style>
  <w:style w:type="character" w:styleId="Heading9Char" w:customStyle="1">
    <w:name w:val="Heading 9 Char"/>
    <w:basedOn w:val="DefaultParagraphFont"/>
    <w:link w:val="Heading9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404040" w:themeColor="text1" w:themeTint="0000BF"/>
      <w:sz w:val="20"/>
      <w:szCs w:val="20"/>
    </w:rPr>
  </w:style>
  <w:style w:type="paragraph" w:styleId="Caption">
    <w:name w:val="caption"/>
    <w:basedOn w:val="Normal"/>
    <w:next w:val="Normal"/>
    <w:uiPriority w:val="35"/>
    <w:semiHidden w:val="1"/>
    <w:unhideWhenUsed w:val="1"/>
    <w:qFormat w:val="1"/>
    <w:rsid w:val="00FC693F"/>
    <w:pPr>
      <w:spacing w:line="240" w:lineRule="auto"/>
    </w:pPr>
    <w:rPr>
      <w:b w:val="1"/>
      <w:bCs w:val="1"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 w:val="1"/>
    <w:rsid w:val="00FC693F"/>
    <w:rPr>
      <w:b w:val="1"/>
      <w:bCs w:val="1"/>
    </w:rPr>
  </w:style>
  <w:style w:type="character" w:styleId="Emphasis">
    <w:name w:val="Emphasis"/>
    <w:basedOn w:val="DefaultParagraphFont"/>
    <w:uiPriority w:val="20"/>
    <w:qFormat w:val="1"/>
    <w:rsid w:val="00FC693F"/>
    <w:rPr>
      <w:i w:val="1"/>
      <w:iCs w:val="1"/>
    </w:rPr>
  </w:style>
  <w:style w:type="paragraph" w:styleId="IntenseQuote">
    <w:name w:val="Intense Quote"/>
    <w:basedOn w:val="Normal"/>
    <w:next w:val="Normal"/>
    <w:link w:val="IntenseQuoteChar"/>
    <w:uiPriority w:val="30"/>
    <w:qFormat w:val="1"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 w:val="1"/>
      <w:bCs w:val="1"/>
      <w:i w:val="1"/>
      <w:iCs w:val="1"/>
      <w:color w:val="4f81bd" w:themeColor="accent1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FC693F"/>
    <w:rPr>
      <w:b w:val="1"/>
      <w:bCs w:val="1"/>
      <w:i w:val="1"/>
      <w:iCs w:val="1"/>
      <w:color w:val="4f81bd" w:themeColor="accent1"/>
    </w:rPr>
  </w:style>
  <w:style w:type="character" w:styleId="SubtleEmphasis">
    <w:name w:val="Subtle Emphasis"/>
    <w:basedOn w:val="DefaultParagraphFont"/>
    <w:uiPriority w:val="19"/>
    <w:qFormat w:val="1"/>
    <w:rsid w:val="00FC693F"/>
    <w:rPr>
      <w:i w:val="1"/>
      <w:iCs w:val="1"/>
      <w:color w:val="808080" w:themeColor="text1" w:themeTint="00007F"/>
    </w:rPr>
  </w:style>
  <w:style w:type="character" w:styleId="IntenseEmphasis">
    <w:name w:val="Intense Emphasis"/>
    <w:basedOn w:val="DefaultParagraphFont"/>
    <w:uiPriority w:val="21"/>
    <w:qFormat w:val="1"/>
    <w:rsid w:val="00FC693F"/>
    <w:rPr>
      <w:b w:val="1"/>
      <w:bCs w:val="1"/>
      <w:i w:val="1"/>
      <w:iCs w:val="1"/>
      <w:color w:val="4f81bd" w:themeColor="accent1"/>
    </w:rPr>
  </w:style>
  <w:style w:type="character" w:styleId="SubtleReference">
    <w:name w:val="Subtle Reference"/>
    <w:basedOn w:val="DefaultParagraphFont"/>
    <w:uiPriority w:val="31"/>
    <w:qFormat w:val="1"/>
    <w:rsid w:val="00FC693F"/>
    <w:rPr>
      <w:smallCaps w:val="1"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1"/>
    <w:rsid w:val="00FC693F"/>
    <w:rPr>
      <w:b w:val="1"/>
      <w:bCs w:val="1"/>
      <w:smallCaps w:val="1"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1"/>
    <w:rsid w:val="00FC693F"/>
    <w:rPr>
      <w:b w:val="1"/>
      <w:bCs w:val="1"/>
      <w:smallCaps w:val="1"/>
      <w:spacing w:val="5"/>
    </w:rPr>
  </w:style>
  <w:style w:type="paragraph" w:styleId="TOCHeading">
    <w:name w:val="TOC Heading"/>
    <w:basedOn w:val="Heading1"/>
    <w:next w:val="Normal"/>
    <w:uiPriority w:val="39"/>
    <w:semiHidden w:val="1"/>
    <w:unhideWhenUsed w:val="1"/>
    <w:qFormat w:val="1"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.0" w:type="dxa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0000BF"/>
    </w:rPr>
    <w:tblPr>
      <w:tblStyleRowBandSize w:val="1"/>
      <w:tblStyleColBandSize w:val="1"/>
      <w:tblInd w:w="0.0" w:type="dxa"/>
      <w:tblBorders>
        <w:top w:color="000000" w:space="0" w:sz="8" w:themeColor="text1" w:val="single"/>
        <w:bottom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8" w:themeColor="text1" w:val="single"/>
          <w:left w:space="0" w:sz="0" w:val="nil"/>
          <w:bottom w:color="000000" w:space="0" w:sz="8" w:themeColor="text1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8" w:themeColor="text1" w:val="single"/>
          <w:left w:space="0" w:sz="0" w:val="nil"/>
          <w:bottom w:color="000000" w:space="0" w:sz="8" w:themeColor="text1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0000BF"/>
    </w:rPr>
    <w:tblPr>
      <w:tblStyleRowBandSize w:val="1"/>
      <w:tblStyleColBandSize w:val="1"/>
      <w:tblInd w:w="0.0" w:type="dxa"/>
      <w:tblBorders>
        <w:top w:color="4f81bd" w:space="0" w:sz="8" w:themeColor="accent1" w:val="single"/>
        <w:bottom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8" w:themeColor="accent1" w:val="single"/>
          <w:left w:space="0" w:sz="0" w:val="nil"/>
          <w:bottom w:color="4f81bd" w:space="0" w:sz="8" w:themeColor="accent1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8" w:themeColor="accent1" w:val="single"/>
          <w:left w:space="0" w:sz="0" w:val="nil"/>
          <w:bottom w:color="4f81bd" w:space="0" w:sz="8" w:themeColor="accent1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0000BF"/>
    </w:rPr>
    <w:tblPr>
      <w:tblStyleRowBandSize w:val="1"/>
      <w:tblStyleColBandSize w:val="1"/>
      <w:tblInd w:w="0.0" w:type="dxa"/>
      <w:tblBorders>
        <w:top w:color="c0504d" w:space="0" w:sz="8" w:themeColor="accent2" w:val="single"/>
        <w:bottom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8" w:themeColor="accent2" w:val="single"/>
          <w:left w:space="0" w:sz="0" w:val="nil"/>
          <w:bottom w:color="c0504d" w:space="0" w:sz="8" w:themeColor="accent2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8" w:themeColor="accent2" w:val="single"/>
          <w:left w:space="0" w:sz="0" w:val="nil"/>
          <w:bottom w:color="c0504d" w:space="0" w:sz="8" w:themeColor="accent2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0000BF"/>
    </w:rPr>
    <w:tblPr>
      <w:tblStyleRowBandSize w:val="1"/>
      <w:tblStyleColBandSize w:val="1"/>
      <w:tblInd w:w="0.0" w:type="dxa"/>
      <w:tblBorders>
        <w:top w:color="9bbb59" w:space="0" w:sz="8" w:themeColor="accent3" w:val="single"/>
        <w:bottom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8" w:themeColor="accent3" w:val="single"/>
          <w:left w:space="0" w:sz="0" w:val="nil"/>
          <w:bottom w:color="9bbb59" w:space="0" w:sz="8" w:themeColor="accent3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8" w:themeColor="accent3" w:val="single"/>
          <w:left w:space="0" w:sz="0" w:val="nil"/>
          <w:bottom w:color="9bbb59" w:space="0" w:sz="8" w:themeColor="accent3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0000BF"/>
    </w:rPr>
    <w:tblPr>
      <w:tblStyleRowBandSize w:val="1"/>
      <w:tblStyleColBandSize w:val="1"/>
      <w:tblInd w:w="0.0" w:type="dxa"/>
      <w:tblBorders>
        <w:top w:color="8064a2" w:space="0" w:sz="8" w:themeColor="accent4" w:val="single"/>
        <w:bottom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8" w:themeColor="accent4" w:val="single"/>
          <w:left w:space="0" w:sz="0" w:val="nil"/>
          <w:bottom w:color="8064a2" w:space="0" w:sz="8" w:themeColor="accent4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8" w:themeColor="accent4" w:val="single"/>
          <w:left w:space="0" w:sz="0" w:val="nil"/>
          <w:bottom w:color="8064a2" w:space="0" w:sz="8" w:themeColor="accent4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0000BF"/>
    </w:rPr>
    <w:tblPr>
      <w:tblStyleRowBandSize w:val="1"/>
      <w:tblStyleColBandSize w:val="1"/>
      <w:tblInd w:w="0.0" w:type="dxa"/>
      <w:tblBorders>
        <w:top w:color="4bacc6" w:space="0" w:sz="8" w:themeColor="accent5" w:val="single"/>
        <w:bottom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8" w:themeColor="accent5" w:val="single"/>
          <w:left w:space="0" w:sz="0" w:val="nil"/>
          <w:bottom w:color="4bacc6" w:space="0" w:sz="8" w:themeColor="accent5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8" w:themeColor="accent5" w:val="single"/>
          <w:left w:space="0" w:sz="0" w:val="nil"/>
          <w:bottom w:color="4bacc6" w:space="0" w:sz="8" w:themeColor="accent5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0000BF"/>
    </w:rPr>
    <w:tblPr>
      <w:tblStyleRowBandSize w:val="1"/>
      <w:tblStyleColBandSize w:val="1"/>
      <w:tblInd w:w="0.0" w:type="dxa"/>
      <w:tblBorders>
        <w:top w:color="f79646" w:space="0" w:sz="8" w:themeColor="accent6" w:val="single"/>
        <w:bottom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8" w:themeColor="accent6" w:val="single"/>
          <w:left w:space="0" w:sz="0" w:val="nil"/>
          <w:bottom w:color="f79646" w:space="0" w:sz="8" w:themeColor="accent6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8" w:themeColor="accent6" w:val="single"/>
          <w:left w:space="0" w:sz="0" w:val="nil"/>
          <w:bottom w:color="f79646" w:space="0" w:sz="8" w:themeColor="accent6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space="0" w:sz="0"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space="0" w:sz="0"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0000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0000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space="0" w:sz="0"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space="0" w:sz="0"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0000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0000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space="0" w:sz="0"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space="0" w:sz="0"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0000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0000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space="0" w:sz="0"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space="0" w:sz="0"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0000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0000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space="0" w:sz="0"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space="0" w:sz="0"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0000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0000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space="0" w:sz="0"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space="0" w:sz="0"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0000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0000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space="0" w:sz="0"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space="0" w:sz="0"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0000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0000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04040" w:space="0" w:sz="8" w:themeColor="text1" w:themeTint="0000BF" w:val="single"/>
        <w:left w:color="404040" w:space="0" w:sz="8" w:themeColor="text1" w:themeTint="0000BF" w:val="single"/>
        <w:bottom w:color="404040" w:space="0" w:sz="8" w:themeColor="text1" w:themeTint="0000BF" w:val="single"/>
        <w:right w:color="404040" w:space="0" w:sz="8" w:themeColor="text1" w:themeTint="0000BF" w:val="single"/>
        <w:insideH w:color="404040" w:space="0" w:sz="8" w:themeColor="tex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404040" w:space="0" w:sz="8" w:themeColor="text1" w:themeTint="0000BF" w:val="single"/>
          <w:left w:color="404040" w:space="0" w:sz="8" w:themeColor="text1" w:themeTint="0000BF" w:val="single"/>
          <w:bottom w:color="404040" w:space="0" w:sz="8" w:themeColor="text1" w:themeTint="0000BF" w:val="single"/>
          <w:right w:color="404040" w:space="0" w:sz="8" w:themeColor="text1" w:themeTint="0000BF" w:val="single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04040" w:space="0" w:sz="6" w:themeColor="text1" w:themeTint="0000BF" w:val="double"/>
          <w:left w:color="404040" w:space="0" w:sz="8" w:themeColor="text1" w:themeTint="0000BF" w:val="single"/>
          <w:bottom w:color="404040" w:space="0" w:sz="8" w:themeColor="text1" w:themeTint="0000BF" w:val="single"/>
          <w:right w:color="404040" w:space="0" w:sz="8" w:themeColor="text1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c0c0c0" w:themeFill="text1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ba0cd" w:space="0" w:sz="8" w:themeColor="accent1" w:themeTint="0000BF" w:val="single"/>
        <w:left w:color="7ba0cd" w:space="0" w:sz="8" w:themeColor="accent1" w:themeTint="0000BF" w:val="single"/>
        <w:bottom w:color="7ba0cd" w:space="0" w:sz="8" w:themeColor="accent1" w:themeTint="0000BF" w:val="single"/>
        <w:right w:color="7ba0cd" w:space="0" w:sz="8" w:themeColor="accent1" w:themeTint="0000BF" w:val="single"/>
        <w:insideH w:color="7ba0cd" w:space="0" w:sz="8" w:themeColor="accen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7ba0cd" w:space="0" w:sz="8" w:themeColor="accent1" w:themeTint="0000BF" w:val="single"/>
          <w:left w:color="7ba0cd" w:space="0" w:sz="8" w:themeColor="accent1" w:themeTint="0000BF" w:val="single"/>
          <w:bottom w:color="7ba0cd" w:space="0" w:sz="8" w:themeColor="accent1" w:themeTint="0000BF" w:val="single"/>
          <w:right w:color="7ba0cd" w:space="0" w:sz="8" w:themeColor="accent1" w:themeTint="0000BF" w:val="single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7ba0cd" w:space="0" w:sz="6" w:themeColor="accent1" w:themeTint="0000BF" w:val="double"/>
          <w:left w:color="7ba0cd" w:space="0" w:sz="8" w:themeColor="accent1" w:themeTint="0000BF" w:val="single"/>
          <w:bottom w:color="7ba0cd" w:space="0" w:sz="8" w:themeColor="accent1" w:themeTint="0000BF" w:val="single"/>
          <w:right w:color="7ba0cd" w:space="0" w:sz="8" w:themeColor="accent1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3dfee" w:themeFill="accent1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f7b79" w:space="0" w:sz="8" w:themeColor="accent2" w:themeTint="0000BF" w:val="single"/>
        <w:left w:color="cf7b79" w:space="0" w:sz="8" w:themeColor="accent2" w:themeTint="0000BF" w:val="single"/>
        <w:bottom w:color="cf7b79" w:space="0" w:sz="8" w:themeColor="accent2" w:themeTint="0000BF" w:val="single"/>
        <w:right w:color="cf7b79" w:space="0" w:sz="8" w:themeColor="accent2" w:themeTint="0000BF" w:val="single"/>
        <w:insideH w:color="cf7b79" w:space="0" w:sz="8" w:themeColor="accent2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cf7b79" w:space="0" w:sz="8" w:themeColor="accent2" w:themeTint="0000BF" w:val="single"/>
          <w:left w:color="cf7b79" w:space="0" w:sz="8" w:themeColor="accent2" w:themeTint="0000BF" w:val="single"/>
          <w:bottom w:color="cf7b79" w:space="0" w:sz="8" w:themeColor="accent2" w:themeTint="0000BF" w:val="single"/>
          <w:right w:color="cf7b79" w:space="0" w:sz="8" w:themeColor="accent2" w:themeTint="0000BF" w:val="single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f7b79" w:space="0" w:sz="6" w:themeColor="accent2" w:themeTint="0000BF" w:val="double"/>
          <w:left w:color="cf7b79" w:space="0" w:sz="8" w:themeColor="accent2" w:themeTint="0000BF" w:val="single"/>
          <w:bottom w:color="cf7b79" w:space="0" w:sz="8" w:themeColor="accent2" w:themeTint="0000BF" w:val="single"/>
          <w:right w:color="cf7b79" w:space="0" w:sz="8" w:themeColor="accent2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fd3d2" w:themeFill="accent2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b3cc82" w:space="0" w:sz="8" w:themeColor="accent3" w:themeTint="0000BF" w:val="single"/>
        <w:left w:color="b3cc82" w:space="0" w:sz="8" w:themeColor="accent3" w:themeTint="0000BF" w:val="single"/>
        <w:bottom w:color="b3cc82" w:space="0" w:sz="8" w:themeColor="accent3" w:themeTint="0000BF" w:val="single"/>
        <w:right w:color="b3cc82" w:space="0" w:sz="8" w:themeColor="accent3" w:themeTint="0000BF" w:val="single"/>
        <w:insideH w:color="b3cc82" w:space="0" w:sz="8" w:themeColor="accent3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b3cc82" w:space="0" w:sz="8" w:themeColor="accent3" w:themeTint="0000BF" w:val="single"/>
          <w:left w:color="b3cc82" w:space="0" w:sz="8" w:themeColor="accent3" w:themeTint="0000BF" w:val="single"/>
          <w:bottom w:color="b3cc82" w:space="0" w:sz="8" w:themeColor="accent3" w:themeTint="0000BF" w:val="single"/>
          <w:right w:color="b3cc82" w:space="0" w:sz="8" w:themeColor="accent3" w:themeTint="0000BF" w:val="single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b3cc82" w:space="0" w:sz="6" w:themeColor="accent3" w:themeTint="0000BF" w:val="double"/>
          <w:left w:color="b3cc82" w:space="0" w:sz="8" w:themeColor="accent3" w:themeTint="0000BF" w:val="single"/>
          <w:bottom w:color="b3cc82" w:space="0" w:sz="8" w:themeColor="accent3" w:themeTint="0000BF" w:val="single"/>
          <w:right w:color="b3cc82" w:space="0" w:sz="8" w:themeColor="accent3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6eed5" w:themeFill="accent3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f8ab9" w:space="0" w:sz="8" w:themeColor="accent4" w:themeTint="0000BF" w:val="single"/>
        <w:left w:color="9f8ab9" w:space="0" w:sz="8" w:themeColor="accent4" w:themeTint="0000BF" w:val="single"/>
        <w:bottom w:color="9f8ab9" w:space="0" w:sz="8" w:themeColor="accent4" w:themeTint="0000BF" w:val="single"/>
        <w:right w:color="9f8ab9" w:space="0" w:sz="8" w:themeColor="accent4" w:themeTint="0000BF" w:val="single"/>
        <w:insideH w:color="9f8ab9" w:space="0" w:sz="8" w:themeColor="accent4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9f8ab9" w:space="0" w:sz="8" w:themeColor="accent4" w:themeTint="0000BF" w:val="single"/>
          <w:left w:color="9f8ab9" w:space="0" w:sz="8" w:themeColor="accent4" w:themeTint="0000BF" w:val="single"/>
          <w:bottom w:color="9f8ab9" w:space="0" w:sz="8" w:themeColor="accent4" w:themeTint="0000BF" w:val="single"/>
          <w:right w:color="9f8ab9" w:space="0" w:sz="8" w:themeColor="accent4" w:themeTint="0000BF" w:val="single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f8ab9" w:space="0" w:sz="6" w:themeColor="accent4" w:themeTint="0000BF" w:val="double"/>
          <w:left w:color="9f8ab9" w:space="0" w:sz="8" w:themeColor="accent4" w:themeTint="0000BF" w:val="single"/>
          <w:bottom w:color="9f8ab9" w:space="0" w:sz="8" w:themeColor="accent4" w:themeTint="0000BF" w:val="single"/>
          <w:right w:color="9f8ab9" w:space="0" w:sz="8" w:themeColor="accent4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fd8e8" w:themeFill="accent4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8c0d4" w:space="0" w:sz="8" w:themeColor="accent5" w:themeTint="0000BF" w:val="single"/>
        <w:left w:color="78c0d4" w:space="0" w:sz="8" w:themeColor="accent5" w:themeTint="0000BF" w:val="single"/>
        <w:bottom w:color="78c0d4" w:space="0" w:sz="8" w:themeColor="accent5" w:themeTint="0000BF" w:val="single"/>
        <w:right w:color="78c0d4" w:space="0" w:sz="8" w:themeColor="accent5" w:themeTint="0000BF" w:val="single"/>
        <w:insideH w:color="78c0d4" w:space="0" w:sz="8" w:themeColor="accent5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78c0d4" w:space="0" w:sz="8" w:themeColor="accent5" w:themeTint="0000BF" w:val="single"/>
          <w:left w:color="78c0d4" w:space="0" w:sz="8" w:themeColor="accent5" w:themeTint="0000BF" w:val="single"/>
          <w:bottom w:color="78c0d4" w:space="0" w:sz="8" w:themeColor="accent5" w:themeTint="0000BF" w:val="single"/>
          <w:right w:color="78c0d4" w:space="0" w:sz="8" w:themeColor="accent5" w:themeTint="0000BF" w:val="single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78c0d4" w:space="0" w:sz="6" w:themeColor="accent5" w:themeTint="0000BF" w:val="double"/>
          <w:left w:color="78c0d4" w:space="0" w:sz="8" w:themeColor="accent5" w:themeTint="0000BF" w:val="single"/>
          <w:bottom w:color="78c0d4" w:space="0" w:sz="8" w:themeColor="accent5" w:themeTint="0000BF" w:val="single"/>
          <w:right w:color="78c0d4" w:space="0" w:sz="8" w:themeColor="accent5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2eaf1" w:themeFill="accent5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9b074" w:space="0" w:sz="8" w:themeColor="accent6" w:themeTint="0000BF" w:val="single"/>
        <w:left w:color="f9b074" w:space="0" w:sz="8" w:themeColor="accent6" w:themeTint="0000BF" w:val="single"/>
        <w:bottom w:color="f9b074" w:space="0" w:sz="8" w:themeColor="accent6" w:themeTint="0000BF" w:val="single"/>
        <w:right w:color="f9b074" w:space="0" w:sz="8" w:themeColor="accent6" w:themeTint="0000BF" w:val="single"/>
        <w:insideH w:color="f9b074" w:space="0" w:sz="8" w:themeColor="accent6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f9b074" w:space="0" w:sz="8" w:themeColor="accent6" w:themeTint="0000BF" w:val="single"/>
          <w:left w:color="f9b074" w:space="0" w:sz="8" w:themeColor="accent6" w:themeTint="0000BF" w:val="single"/>
          <w:bottom w:color="f9b074" w:space="0" w:sz="8" w:themeColor="accent6" w:themeTint="0000BF" w:val="single"/>
          <w:right w:color="f9b074" w:space="0" w:sz="8" w:themeColor="accent6" w:themeTint="0000BF" w:val="single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9b074" w:space="0" w:sz="6" w:themeColor="accent6" w:themeTint="0000BF" w:val="double"/>
          <w:left w:color="f9b074" w:space="0" w:sz="8" w:themeColor="accent6" w:themeTint="0000BF" w:val="single"/>
          <w:bottom w:color="f9b074" w:space="0" w:sz="8" w:themeColor="accent6" w:themeTint="0000BF" w:val="single"/>
          <w:right w:color="f9b074" w:space="0" w:sz="8" w:themeColor="accent6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de4d0" w:themeFill="accent6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bottom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000000" w:space="0" w:sz="8" w:themeColor="text1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00003F" w:val="clear"/>
      </w:tcPr>
    </w:tblStylePr>
    <w:tblStylePr w:type="band1Horz">
      <w:tblPr/>
      <w:tcPr>
        <w:shd w:color="auto" w:fill="c0c0c0" w:themeFill="text1" w:themeFillTint="00003F" w:val="clear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bottom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4f81bd" w:space="0" w:sz="8" w:themeColor="accent1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00003F" w:val="clear"/>
      </w:tcPr>
    </w:tblStylePr>
    <w:tblStylePr w:type="band1Horz">
      <w:tblPr/>
      <w:tcPr>
        <w:shd w:color="auto" w:fill="d3dfee" w:themeFill="accent1" w:themeFillTint="00003F" w:val="clear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bottom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c0504d" w:space="0" w:sz="8" w:themeColor="accent2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00003F" w:val="clear"/>
      </w:tcPr>
    </w:tblStylePr>
    <w:tblStylePr w:type="band1Horz">
      <w:tblPr/>
      <w:tcPr>
        <w:shd w:color="auto" w:fill="efd3d2" w:themeFill="accent2" w:themeFillTint="00003F" w:val="clear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bottom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9bbb59" w:space="0" w:sz="8" w:themeColor="accent3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00003F" w:val="clear"/>
      </w:tcPr>
    </w:tblStylePr>
    <w:tblStylePr w:type="band1Horz">
      <w:tblPr/>
      <w:tcPr>
        <w:shd w:color="auto" w:fill="e6eed5" w:themeFill="accent3" w:themeFillTint="00003F" w:val="clear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bottom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8064a2" w:space="0" w:sz="8" w:themeColor="accent4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00003F" w:val="clear"/>
      </w:tcPr>
    </w:tblStylePr>
    <w:tblStylePr w:type="band1Horz">
      <w:tblPr/>
      <w:tcPr>
        <w:shd w:color="auto" w:fill="dfd8e8" w:themeFill="accent4" w:themeFillTint="00003F" w:val="clear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bottom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4bacc6" w:space="0" w:sz="8" w:themeColor="accent5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00003F" w:val="clear"/>
      </w:tcPr>
    </w:tblStylePr>
    <w:tblStylePr w:type="band1Horz">
      <w:tblPr/>
      <w:tcPr>
        <w:shd w:color="auto" w:fill="d2eaf1" w:themeFill="accent5" w:themeFillTint="00003F" w:val="clear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bottom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f79646" w:space="0" w:sz="8" w:themeColor="accent6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00003F" w:val="clear"/>
      </w:tcPr>
    </w:tblStylePr>
    <w:tblStylePr w:type="band1Horz">
      <w:tblPr/>
      <w:tcPr>
        <w:shd w:color="auto" w:fill="fde4d0" w:themeFill="accent6" w:themeFillTint="00003F" w:val="clear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000000" w:space="0" w:sz="24" w:themeColor="text1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000000" w:space="0" w:sz="8" w:themeColor="text1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000000" w:space="0" w:sz="8" w:themeColor="text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4f81bd" w:space="0" w:sz="24" w:themeColor="accent1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4f81bd" w:space="0" w:sz="8" w:themeColor="accent1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4f81bd" w:space="0" w:sz="8" w:themeColor="accent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c0504d" w:space="0" w:sz="8" w:themeColor="accent2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c0504d" w:space="0" w:sz="8" w:themeColor="accent2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9bbb59" w:space="0" w:sz="24" w:themeColor="accent3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9bbb59" w:space="0" w:sz="8" w:themeColor="accent3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9bbb59" w:space="0" w:sz="8" w:themeColor="accent3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8064a2" w:space="0" w:sz="24" w:themeColor="accent4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8064a2" w:space="0" w:sz="8" w:themeColor="accent4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8064a2" w:space="0" w:sz="8" w:themeColor="accent4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4bacc6" w:space="0" w:sz="24" w:themeColor="accent5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4bacc6" w:space="0" w:sz="8" w:themeColor="accent5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4bacc6" w:space="0" w:sz="8" w:themeColor="accent5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f79646" w:space="0" w:sz="24" w:themeColor="accent6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79646" w:space="0" w:sz="8" w:themeColor="accent6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f79646" w:space="0" w:sz="8" w:themeColor="accent6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04040" w:space="0" w:sz="8" w:themeColor="text1" w:themeTint="0000BF" w:val="single"/>
        <w:left w:color="404040" w:space="0" w:sz="8" w:themeColor="text1" w:themeTint="0000BF" w:val="single"/>
        <w:bottom w:color="404040" w:space="0" w:sz="8" w:themeColor="text1" w:themeTint="0000BF" w:val="single"/>
        <w:right w:color="404040" w:space="0" w:sz="8" w:themeColor="text1" w:themeTint="0000BF" w:val="single"/>
        <w:insideH w:color="404040" w:space="0" w:sz="8" w:themeColor="text1" w:themeTint="0000BF" w:val="single"/>
        <w:insideV w:color="404040" w:space="0" w:sz="8" w:themeColor="tex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404040" w:space="0" w:sz="18" w:themeColor="text1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shd w:color="auto" w:fill="808080" w:themeFill="text1" w:themeFillTint="00007F" w:val="clear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ba0cd" w:space="0" w:sz="8" w:themeColor="accent1" w:themeTint="0000BF" w:val="single"/>
        <w:left w:color="7ba0cd" w:space="0" w:sz="8" w:themeColor="accent1" w:themeTint="0000BF" w:val="single"/>
        <w:bottom w:color="7ba0cd" w:space="0" w:sz="8" w:themeColor="accent1" w:themeTint="0000BF" w:val="single"/>
        <w:right w:color="7ba0cd" w:space="0" w:sz="8" w:themeColor="accent1" w:themeTint="0000BF" w:val="single"/>
        <w:insideH w:color="7ba0cd" w:space="0" w:sz="8" w:themeColor="accent1" w:themeTint="0000BF" w:val="single"/>
        <w:insideV w:color="7ba0cd" w:space="0" w:sz="8" w:themeColor="accen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7ba0cd" w:space="0" w:sz="18" w:themeColor="accent1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shd w:color="auto" w:fill="a7bfde" w:themeFill="accent1" w:themeFillTint="00007F" w:val="clear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f7b79" w:space="0" w:sz="8" w:themeColor="accent2" w:themeTint="0000BF" w:val="single"/>
        <w:left w:color="cf7b79" w:space="0" w:sz="8" w:themeColor="accent2" w:themeTint="0000BF" w:val="single"/>
        <w:bottom w:color="cf7b79" w:space="0" w:sz="8" w:themeColor="accent2" w:themeTint="0000BF" w:val="single"/>
        <w:right w:color="cf7b79" w:space="0" w:sz="8" w:themeColor="accent2" w:themeTint="0000BF" w:val="single"/>
        <w:insideH w:color="cf7b79" w:space="0" w:sz="8" w:themeColor="accent2" w:themeTint="0000BF" w:val="single"/>
        <w:insideV w:color="cf7b79" w:space="0" w:sz="8" w:themeColor="accent2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cf7b79" w:space="0" w:sz="18" w:themeColor="accent2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shd w:color="auto" w:fill="dfa7a6" w:themeFill="accent2" w:themeFillTint="00007F" w:val="clear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b3cc82" w:space="0" w:sz="8" w:themeColor="accent3" w:themeTint="0000BF" w:val="single"/>
        <w:left w:color="b3cc82" w:space="0" w:sz="8" w:themeColor="accent3" w:themeTint="0000BF" w:val="single"/>
        <w:bottom w:color="b3cc82" w:space="0" w:sz="8" w:themeColor="accent3" w:themeTint="0000BF" w:val="single"/>
        <w:right w:color="b3cc82" w:space="0" w:sz="8" w:themeColor="accent3" w:themeTint="0000BF" w:val="single"/>
        <w:insideH w:color="b3cc82" w:space="0" w:sz="8" w:themeColor="accent3" w:themeTint="0000BF" w:val="single"/>
        <w:insideV w:color="b3cc82" w:space="0" w:sz="8" w:themeColor="accent3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b3cc82" w:space="0" w:sz="18" w:themeColor="accent3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f8ab9" w:space="0" w:sz="8" w:themeColor="accent4" w:themeTint="0000BF" w:val="single"/>
        <w:left w:color="9f8ab9" w:space="0" w:sz="8" w:themeColor="accent4" w:themeTint="0000BF" w:val="single"/>
        <w:bottom w:color="9f8ab9" w:space="0" w:sz="8" w:themeColor="accent4" w:themeTint="0000BF" w:val="single"/>
        <w:right w:color="9f8ab9" w:space="0" w:sz="8" w:themeColor="accent4" w:themeTint="0000BF" w:val="single"/>
        <w:insideH w:color="9f8ab9" w:space="0" w:sz="8" w:themeColor="accent4" w:themeTint="0000BF" w:val="single"/>
        <w:insideV w:color="9f8ab9" w:space="0" w:sz="8" w:themeColor="accent4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9f8ab9" w:space="0" w:sz="18" w:themeColor="accent4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shd w:color="auto" w:fill="bfb1d0" w:themeFill="accent4" w:themeFillTint="00007F" w:val="clear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8c0d4" w:space="0" w:sz="8" w:themeColor="accent5" w:themeTint="0000BF" w:val="single"/>
        <w:left w:color="78c0d4" w:space="0" w:sz="8" w:themeColor="accent5" w:themeTint="0000BF" w:val="single"/>
        <w:bottom w:color="78c0d4" w:space="0" w:sz="8" w:themeColor="accent5" w:themeTint="0000BF" w:val="single"/>
        <w:right w:color="78c0d4" w:space="0" w:sz="8" w:themeColor="accent5" w:themeTint="0000BF" w:val="single"/>
        <w:insideH w:color="78c0d4" w:space="0" w:sz="8" w:themeColor="accent5" w:themeTint="0000BF" w:val="single"/>
        <w:insideV w:color="78c0d4" w:space="0" w:sz="8" w:themeColor="accent5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78c0d4" w:space="0" w:sz="18" w:themeColor="accent5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shd w:color="auto" w:fill="a5d5e2" w:themeFill="accent5" w:themeFillTint="00007F" w:val="clear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9b074" w:space="0" w:sz="8" w:themeColor="accent6" w:themeTint="0000BF" w:val="single"/>
        <w:left w:color="f9b074" w:space="0" w:sz="8" w:themeColor="accent6" w:themeTint="0000BF" w:val="single"/>
        <w:bottom w:color="f9b074" w:space="0" w:sz="8" w:themeColor="accent6" w:themeTint="0000BF" w:val="single"/>
        <w:right w:color="f9b074" w:space="0" w:sz="8" w:themeColor="accent6" w:themeTint="0000BF" w:val="single"/>
        <w:insideH w:color="f9b074" w:space="0" w:sz="8" w:themeColor="accent6" w:themeTint="0000BF" w:val="single"/>
        <w:insideV w:color="f9b074" w:space="0" w:sz="8" w:themeColor="accent6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f9b074" w:space="0" w:sz="18" w:themeColor="accent6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shd w:color="auto" w:fill="fbcaa2" w:themeFill="accent6" w:themeFillTint="00007F" w:val="clear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6e6e6" w:themeFill="text1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ccccc" w:themeFill="text1" w:themeFillTint="000033" w:val="clear"/>
      </w:tc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df2f8" w:themeFill="accent1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be5f1" w:themeFill="accent1" w:themeFillTint="000033" w:val="clear"/>
      </w:tc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8eded" w:themeFill="accent2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2dbdb" w:themeFill="accent2" w:themeFillTint="000033" w:val="clear"/>
      </w:tc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5f8ee" w:themeFill="accent3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af1dd" w:themeFill="accent3" w:themeFillTint="000033" w:val="clear"/>
      </w:tc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2eff6" w:themeFill="accent4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5dfec" w:themeFill="accent4" w:themeFillTint="000033" w:val="clear"/>
      </w:tc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df6f9" w:themeFill="accent5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aeef3" w:themeFill="accent5" w:themeFillTint="000033" w:val="clear"/>
      </w:tc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ef4ec" w:themeFill="accent6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de9d9" w:themeFill="accent6" w:themeFillTint="000033" w:val="clear"/>
      </w:tc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808080" w:themeFill="text1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00007F" w:val="clear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a7bfde" w:themeFill="accent1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00007F" w:val="clear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dfa7a6" w:themeFill="accent2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00007F" w:val="clear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cdddac" w:themeFill="accent3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00007F" w:val="clear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bfb1d0" w:themeFill="accent4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00007F" w:val="clear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a5d5e2" w:themeFill="accent5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00007F" w:val="clear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fbcaa2" w:themeFill="accent6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00007F" w:val="clear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000000" w:themeFill="text1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4f81bd" w:themeFill="accent1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43f60" w:themeFill="accent1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504d" w:themeFill="accent2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622423" w:themeFill="accent2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9bbb59" w:themeFill="accent3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e6128" w:themeFill="accent3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8064a2" w:themeFill="accent4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f3151" w:themeFill="accent4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4bacc6" w:themeFill="accent5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05867" w:themeFill="accent5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79646" w:themeFill="accent6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74706" w:themeFill="accent6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6e6" w:themeFill="text1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000000" w:themeFill="text1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000000" w:space="0" w:sz="4" w:themeColor="text1" w:themeShade="000099" w:val="single"/>
          <w:insideV w:space="0" w:sz="0" w:val="nil"/>
        </w:tcBorders>
        <w:shd w:color="auto" w:fill="000000" w:themeFill="text1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Vert">
      <w:tblPr/>
      <w:tcPr>
        <w:shd w:color="auto" w:fill="999999" w:themeFill="text1" w:themeFillTint="000066" w:val="clear"/>
      </w:tcPr>
    </w:tblStylePr>
    <w:tblStylePr w:type="band1Horz">
      <w:tblPr/>
      <w:tcPr>
        <w:shd w:color="auto" w:fill="808080" w:themeFill="text1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2f8" w:themeFill="accent1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2c4c74" w:space="0" w:sz="4" w:themeColor="accent1" w:themeShade="000099" w:val="single"/>
          <w:insideV w:space="0" w:sz="0" w:val="nil"/>
        </w:tcBorders>
        <w:shd w:color="auto" w:fill="2c4c74" w:themeFill="accent1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c4c74" w:themeFill="accent1" w:themeFillShade="000099" w:val="clear"/>
      </w:tcPr>
    </w:tblStylePr>
    <w:tblStylePr w:type="band1Vert">
      <w:tblPr/>
      <w:tcPr>
        <w:shd w:color="auto" w:fill="b8cce4" w:themeFill="accent1" w:themeFillTint="000066" w:val="clear"/>
      </w:tcPr>
    </w:tblStylePr>
    <w:tblStylePr w:type="band1Horz">
      <w:tblPr/>
      <w:tcPr>
        <w:shd w:color="auto" w:fill="a7bfde" w:themeFill="accent1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8eded" w:themeFill="accent2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772c2a" w:space="0" w:sz="4" w:themeColor="accent2" w:themeShade="000099" w:val="single"/>
          <w:insideV w:space="0" w:sz="0" w:val="nil"/>
        </w:tcBorders>
        <w:shd w:color="auto" w:fill="772c2a" w:themeFill="accent2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72c2a" w:themeFill="accent2" w:themeFillShade="000099" w:val="clear"/>
      </w:tcPr>
    </w:tblStylePr>
    <w:tblStylePr w:type="band1Vert">
      <w:tblPr/>
      <w:tcPr>
        <w:shd w:color="auto" w:fill="e5b8b7" w:themeFill="accent2" w:themeFillTint="000066" w:val="clear"/>
      </w:tcPr>
    </w:tblStylePr>
    <w:tblStylePr w:type="band1Horz">
      <w:tblPr/>
      <w:tcPr>
        <w:shd w:color="auto" w:fill="dfa7a6" w:themeFill="accent2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5f8ee" w:themeFill="accent3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8064a2" w:space="0" w:sz="24" w:themeColor="accent4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5e7530" w:space="0" w:sz="4" w:themeColor="accent3" w:themeShade="000099" w:val="single"/>
          <w:insideV w:space="0" w:sz="0" w:val="nil"/>
        </w:tcBorders>
        <w:shd w:color="auto" w:fill="5e7530" w:themeFill="accent3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e7530" w:themeFill="accent3" w:themeFillShade="000099" w:val="clear"/>
      </w:tcPr>
    </w:tblStylePr>
    <w:tblStylePr w:type="band1Vert">
      <w:tblPr/>
      <w:tcPr>
        <w:shd w:color="auto" w:fill="d6e3bc" w:themeFill="accent3" w:themeFillTint="000066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eff6" w:themeFill="accent4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9bbb59" w:space="0" w:sz="24" w:themeColor="accent3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4c3b62" w:space="0" w:sz="4" w:themeColor="accent4" w:themeShade="000099" w:val="single"/>
          <w:insideV w:space="0" w:sz="0" w:val="nil"/>
        </w:tcBorders>
        <w:shd w:color="auto" w:fill="4c3b62" w:themeFill="accent4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c3b62" w:themeFill="accent4" w:themeFillShade="000099" w:val="clear"/>
      </w:tcPr>
    </w:tblStylePr>
    <w:tblStylePr w:type="band1Vert">
      <w:tblPr/>
      <w:tcPr>
        <w:shd w:color="auto" w:fill="ccc0d9" w:themeFill="accent4" w:themeFillTint="000066" w:val="clear"/>
      </w:tcPr>
    </w:tblStylePr>
    <w:tblStylePr w:type="band1Horz">
      <w:tblPr/>
      <w:tcPr>
        <w:shd w:color="auto" w:fill="bfb1d0" w:themeFill="accent4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6f9" w:themeFill="accent5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79646" w:space="0" w:sz="24" w:themeColor="accent6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276a7c" w:space="0" w:sz="4" w:themeColor="accent5" w:themeShade="000099" w:val="single"/>
          <w:insideV w:space="0" w:sz="0" w:val="nil"/>
        </w:tcBorders>
        <w:shd w:color="auto" w:fill="276a7c" w:themeFill="accent5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76a7c" w:themeFill="accent5" w:themeFillShade="000099" w:val="clear"/>
      </w:tcPr>
    </w:tblStylePr>
    <w:tblStylePr w:type="band1Vert">
      <w:tblPr/>
      <w:tcPr>
        <w:shd w:color="auto" w:fill="b6dde8" w:themeFill="accent5" w:themeFillTint="000066" w:val="clear"/>
      </w:tcPr>
    </w:tblStylePr>
    <w:tblStylePr w:type="band1Horz">
      <w:tblPr/>
      <w:tcPr>
        <w:shd w:color="auto" w:fill="a5d5e2" w:themeFill="accent5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ef4ec" w:themeFill="accent6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4bacc6" w:space="0" w:sz="24" w:themeColor="accent5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b65608" w:space="0" w:sz="4" w:themeColor="accent6" w:themeShade="000099" w:val="single"/>
          <w:insideV w:space="0" w:sz="0" w:val="nil"/>
        </w:tcBorders>
        <w:shd w:color="auto" w:fill="b65608" w:themeFill="accent6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b65608" w:themeFill="accent6" w:themeFillShade="000099" w:val="clear"/>
      </w:tcPr>
    </w:tblStylePr>
    <w:tblStylePr w:type="band1Vert">
      <w:tblPr/>
      <w:tcPr>
        <w:shd w:color="auto" w:fill="fbd4b4" w:themeFill="accent6" w:themeFillTint="000066" w:val="clear"/>
      </w:tcPr>
    </w:tblStylePr>
    <w:tblStylePr w:type="band1Horz">
      <w:tblPr/>
      <w:tcPr>
        <w:shd w:color="auto" w:fill="fbcaa2" w:themeFill="accent6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6e6" w:themeFill="text1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shd w:color="auto" w:fill="cccccc" w:themeFill="text1" w:themeFillTint="000033" w:val="clear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2f8" w:themeFill="accent1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shd w:color="auto" w:fill="dbe5f1" w:themeFill="accent1" w:themeFillTint="000033" w:val="clear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8eded" w:themeFill="accent2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shd w:color="auto" w:fill="f2dbdb" w:themeFill="accent2" w:themeFillTint="000033" w:val="clear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5f8ee" w:themeFill="accent3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0000CC" w:val="clear"/>
      </w:tcPr>
    </w:tblStylePr>
    <w:tblStylePr w:type="lastRow">
      <w:rPr>
        <w:b w:val="1"/>
        <w:bCs w:val="1"/>
        <w:color w:val="664e82" w:themeColor="accent4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shd w:color="auto" w:fill="eaf1dd" w:themeFill="accent3" w:themeFillTint="000033" w:val="clear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eff6" w:themeFill="accent4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0000CC" w:val="clear"/>
      </w:tcPr>
    </w:tblStylePr>
    <w:tblStylePr w:type="lastRow">
      <w:rPr>
        <w:b w:val="1"/>
        <w:bCs w:val="1"/>
        <w:color w:val="7e9c40" w:themeColor="accent3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shd w:color="auto" w:fill="e5dfec" w:themeFill="accent4" w:themeFillTint="000033" w:val="clear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6f9" w:themeFill="accent5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0000CC" w:val="clear"/>
      </w:tcPr>
    </w:tblStylePr>
    <w:tblStylePr w:type="lastRow">
      <w:rPr>
        <w:b w:val="1"/>
        <w:bCs w:val="1"/>
        <w:color w:val="f2730a" w:themeColor="accent6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shd w:color="auto" w:fill="daeef3" w:themeFill="accent5" w:themeFillTint="000033" w:val="clear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ef4ec" w:themeFill="accent6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0000CC" w:val="clear"/>
      </w:tcPr>
    </w:tblStylePr>
    <w:tblStylePr w:type="lastRow">
      <w:rPr>
        <w:b w:val="1"/>
        <w:bCs w:val="1"/>
        <w:color w:val="348da5" w:themeColor="accent5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shd w:color="auto" w:fill="fde9d9" w:themeFill="accent6" w:themeFillTint="000033" w:val="clear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ccccc" w:themeFill="text1" w:themeFillTint="000033" w:val="clear"/>
    </w:tcPr>
    <w:tblStylePr w:type="firstRow">
      <w:rPr>
        <w:b w:val="1"/>
        <w:bCs w:val="1"/>
      </w:rPr>
      <w:tblPr/>
      <w:tcPr>
        <w:shd w:color="auto" w:fill="999999" w:themeFill="text1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999999" w:themeFill="text1" w:themeFillTint="000066" w:val="clear"/>
      </w:tcPr>
    </w:tblStylePr>
    <w:tblStylePr w:type="firstCol">
      <w:rPr>
        <w:color w:val="ffffff" w:themeColor="background1"/>
      </w:rPr>
      <w:tblPr/>
      <w:tcPr>
        <w:shd w:color="auto" w:fill="000000" w:themeFill="text1" w:themeFillShade="0000BF" w:val="clear"/>
      </w:tcPr>
    </w:tblStylePr>
    <w:tblStylePr w:type="lastCol">
      <w:rPr>
        <w:color w:val="ffffff" w:themeColor="background1"/>
      </w:rPr>
      <w:tblPr/>
      <w:tcPr>
        <w:shd w:color="auto" w:fill="000000" w:themeFill="text1" w:themeFillShade="0000BF" w:val="clear"/>
      </w:tc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shd w:color="auto" w:fill="808080" w:themeFill="text1" w:themeFillTint="00007F" w:val="clear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be5f1" w:themeFill="accent1" w:themeFillTint="000033" w:val="clear"/>
    </w:tcPr>
    <w:tblStylePr w:type="firstRow">
      <w:rPr>
        <w:b w:val="1"/>
        <w:bCs w:val="1"/>
      </w:rPr>
      <w:tblPr/>
      <w:tcPr>
        <w:shd w:color="auto" w:fill="b8cce4" w:themeFill="accent1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b8cce4" w:themeFill="accent1" w:themeFillTint="000066" w:val="clear"/>
      </w:tcPr>
    </w:tblStylePr>
    <w:tblStylePr w:type="firstCol">
      <w:rPr>
        <w:color w:val="ffffff" w:themeColor="background1"/>
      </w:rPr>
      <w:tblPr/>
      <w:tcPr>
        <w:shd w:color="auto" w:fill="365f91" w:themeFill="accent1" w:themeFillShade="0000BF" w:val="clear"/>
      </w:tcPr>
    </w:tblStylePr>
    <w:tblStylePr w:type="lastCol">
      <w:rPr>
        <w:color w:val="ffffff" w:themeColor="background1"/>
      </w:rPr>
      <w:tblPr/>
      <w:tcPr>
        <w:shd w:color="auto" w:fill="365f91" w:themeFill="accent1" w:themeFillShade="0000BF" w:val="clear"/>
      </w:tc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shd w:color="auto" w:fill="a7bfde" w:themeFill="accent1" w:themeFillTint="00007F" w:val="clear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dbdb" w:themeFill="accent2" w:themeFillTint="000033" w:val="clear"/>
    </w:tcPr>
    <w:tblStylePr w:type="firstRow">
      <w:rPr>
        <w:b w:val="1"/>
        <w:bCs w:val="1"/>
      </w:rPr>
      <w:tblPr/>
      <w:tcPr>
        <w:shd w:color="auto" w:fill="e5b8b7" w:themeFill="accent2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e5b8b7" w:themeFill="accent2" w:themeFillTint="000066" w:val="clear"/>
      </w:tcPr>
    </w:tblStylePr>
    <w:tblStylePr w:type="firstCol">
      <w:rPr>
        <w:color w:val="ffffff" w:themeColor="background1"/>
      </w:rPr>
      <w:tblPr/>
      <w:tcPr>
        <w:shd w:color="auto" w:fill="943634" w:themeFill="accent2" w:themeFillShade="0000BF" w:val="clear"/>
      </w:tcPr>
    </w:tblStylePr>
    <w:tblStylePr w:type="lastCol">
      <w:rPr>
        <w:color w:val="ffffff" w:themeColor="background1"/>
      </w:rPr>
      <w:tblPr/>
      <w:tcPr>
        <w:shd w:color="auto" w:fill="943634" w:themeFill="accent2" w:themeFillShade="0000BF" w:val="clear"/>
      </w:tc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shd w:color="auto" w:fill="dfa7a6" w:themeFill="accent2" w:themeFillTint="00007F" w:val="clear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af1dd" w:themeFill="accent3" w:themeFillTint="000033" w:val="clear"/>
    </w:tcPr>
    <w:tblStylePr w:type="firstRow">
      <w:rPr>
        <w:b w:val="1"/>
        <w:bCs w:val="1"/>
      </w:rPr>
      <w:tblPr/>
      <w:tcPr>
        <w:shd w:color="auto" w:fill="d6e3bc" w:themeFill="accent3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d6e3bc" w:themeFill="accent3" w:themeFillTint="000066" w:val="clear"/>
      </w:tcPr>
    </w:tblStylePr>
    <w:tblStylePr w:type="firstCol">
      <w:rPr>
        <w:color w:val="ffffff" w:themeColor="background1"/>
      </w:rPr>
      <w:tblPr/>
      <w:tcPr>
        <w:shd w:color="auto" w:fill="76923c" w:themeFill="accent3" w:themeFillShade="0000BF" w:val="clear"/>
      </w:tcPr>
    </w:tblStylePr>
    <w:tblStylePr w:type="lastCol">
      <w:rPr>
        <w:color w:val="ffffff" w:themeColor="background1"/>
      </w:rPr>
      <w:tblPr/>
      <w:tcPr>
        <w:shd w:color="auto" w:fill="76923c" w:themeFill="accent3" w:themeFillShade="0000BF" w:val="clear"/>
      </w:tc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5dfec" w:themeFill="accent4" w:themeFillTint="000033" w:val="clear"/>
    </w:tcPr>
    <w:tblStylePr w:type="firstRow">
      <w:rPr>
        <w:b w:val="1"/>
        <w:bCs w:val="1"/>
      </w:rPr>
      <w:tblPr/>
      <w:tcPr>
        <w:shd w:color="auto" w:fill="ccc0d9" w:themeFill="accent4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ccc0d9" w:themeFill="accent4" w:themeFillTint="000066" w:val="clear"/>
      </w:tcPr>
    </w:tblStylePr>
    <w:tblStylePr w:type="firstCol">
      <w:rPr>
        <w:color w:val="ffffff" w:themeColor="background1"/>
      </w:rPr>
      <w:tblPr/>
      <w:tcPr>
        <w:shd w:color="auto" w:fill="5f497a" w:themeFill="accent4" w:themeFillShade="0000BF" w:val="clear"/>
      </w:tcPr>
    </w:tblStylePr>
    <w:tblStylePr w:type="lastCol">
      <w:rPr>
        <w:color w:val="ffffff" w:themeColor="background1"/>
      </w:rPr>
      <w:tblPr/>
      <w:tcPr>
        <w:shd w:color="auto" w:fill="5f497a" w:themeFill="accent4" w:themeFillShade="0000BF" w:val="clear"/>
      </w:tc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shd w:color="auto" w:fill="bfb1d0" w:themeFill="accent4" w:themeFillTint="00007F" w:val="clear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aeef3" w:themeFill="accent5" w:themeFillTint="000033" w:val="clear"/>
    </w:tcPr>
    <w:tblStylePr w:type="firstRow">
      <w:rPr>
        <w:b w:val="1"/>
        <w:bCs w:val="1"/>
      </w:rPr>
      <w:tblPr/>
      <w:tcPr>
        <w:shd w:color="auto" w:fill="b6dde8" w:themeFill="accent5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b6dde8" w:themeFill="accent5" w:themeFillTint="000066" w:val="clear"/>
      </w:tcPr>
    </w:tblStylePr>
    <w:tblStylePr w:type="firstCol">
      <w:rPr>
        <w:color w:val="ffffff" w:themeColor="background1"/>
      </w:rPr>
      <w:tblPr/>
      <w:tcPr>
        <w:shd w:color="auto" w:fill="31849b" w:themeFill="accent5" w:themeFillShade="0000BF" w:val="clear"/>
      </w:tcPr>
    </w:tblStylePr>
    <w:tblStylePr w:type="lastCol">
      <w:rPr>
        <w:color w:val="ffffff" w:themeColor="background1"/>
      </w:rPr>
      <w:tblPr/>
      <w:tcPr>
        <w:shd w:color="auto" w:fill="31849b" w:themeFill="accent5" w:themeFillShade="0000BF" w:val="clear"/>
      </w:tc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shd w:color="auto" w:fill="a5d5e2" w:themeFill="accent5" w:themeFillTint="00007F" w:val="clear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9d9" w:themeFill="accent6" w:themeFillTint="000033" w:val="clear"/>
    </w:tcPr>
    <w:tblStylePr w:type="firstRow">
      <w:rPr>
        <w:b w:val="1"/>
        <w:bCs w:val="1"/>
      </w:rPr>
      <w:tblPr/>
      <w:tcPr>
        <w:shd w:color="auto" w:fill="fbd4b4" w:themeFill="accent6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fbd4b4" w:themeFill="accent6" w:themeFillTint="000066" w:val="clear"/>
      </w:tcPr>
    </w:tblStylePr>
    <w:tblStylePr w:type="firstCol">
      <w:rPr>
        <w:color w:val="ffffff" w:themeColor="background1"/>
      </w:rPr>
      <w:tblPr/>
      <w:tcPr>
        <w:shd w:color="auto" w:fill="e36c0a" w:themeFill="accent6" w:themeFillShade="0000BF" w:val="clear"/>
      </w:tcPr>
    </w:tblStylePr>
    <w:tblStylePr w:type="lastCol">
      <w:rPr>
        <w:color w:val="ffffff" w:themeColor="background1"/>
      </w:rPr>
      <w:tblPr/>
      <w:tcPr>
        <w:shd w:color="auto" w:fill="e36c0a" w:themeFill="accent6" w:themeFillShade="0000BF" w:val="clear"/>
      </w:tc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shd w:color="auto" w:fill="fbcaa2" w:themeFill="accent6" w:themeFillTint="00007F" w:val="clear"/>
      </w:tcPr>
    </w:tblStylePr>
  </w:style>
  <w:style w:type="paragraph" w:styleId="SourceText" w:customStyle="1">
    <w:name w:val="Source Text"/>
    <w:pPr>
      <w:spacing w:after="20" w:before="0" w:line="240" w:lineRule="auto"/>
    </w:pPr>
    <w:rPr>
      <w:rFonts w:ascii="Arial" w:eastAsia="Arial" w:hAnsi="Arial"/>
      <w:b w:val="0"/>
      <w:color w:val="667085"/>
      <w:sz w:val="17"/>
    </w:rPr>
  </w:style>
  <w:style w:type="paragraph" w:styleId="Kicker" w:customStyle="1">
    <w:name w:val="Kicker"/>
    <w:pPr>
      <w:keepNext w:val="1"/>
      <w:spacing w:after="60" w:before="0" w:line="240" w:lineRule="auto"/>
    </w:pPr>
    <w:rPr>
      <w:rFonts w:ascii="Arial" w:eastAsia="Arial" w:hAnsi="Arial"/>
      <w:b w:val="1"/>
      <w:color w:val="ff6720"/>
      <w:sz w:val="18"/>
    </w:rPr>
  </w:style>
  <w:style w:type="paragraph" w:styleId="TemplateLabel" w:customStyle="1">
    <w:name w:val="Template Label"/>
    <w:pPr>
      <w:keepNext w:val="1"/>
      <w:spacing w:after="40" w:before="80" w:line="264" w:lineRule="auto"/>
    </w:pPr>
    <w:rPr>
      <w:rFonts w:ascii="Arial" w:eastAsia="Arial" w:hAnsi="Arial"/>
      <w:b w:val="1"/>
      <w:color w:val="1d4289"/>
      <w:sz w:val="21"/>
    </w:rPr>
  </w:style>
  <w:style w:type="paragraph" w:styleId="Subtitle">
    <w:name w:val="Subtitle"/>
    <w:basedOn w:val="Normal"/>
    <w:next w:val="Normal"/>
    <w:pPr>
      <w:keepNext w:val="1"/>
      <w:spacing w:after="160" w:before="0" w:line="252.00000000000003" w:lineRule="auto"/>
    </w:pPr>
    <w:rPr>
      <w:rFonts w:ascii="Arial" w:cs="Arial" w:eastAsia="Arial" w:hAnsi="Arial"/>
      <w:b w:val="0"/>
      <w:bCs w:val="0"/>
      <w:i w:val="1"/>
      <w:iCs w:val="1"/>
      <w:color w:val="4a5568"/>
      <w:sz w:val="25"/>
      <w:szCs w:val="25"/>
    </w:r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hyperlink" Target="https://www.delawarestudentsuccess.org/seed-and-inspire/" TargetMode="External"/><Relationship Id="rId10" Type="http://schemas.openxmlformats.org/officeDocument/2006/relationships/hyperlink" Target="https://www.delawarestudentsuccess.org/identify-your-colleges/" TargetMode="External"/><Relationship Id="rId13" Type="http://schemas.openxmlformats.org/officeDocument/2006/relationships/footer" Target="footer1.xml"/><Relationship Id="rId12" Type="http://schemas.openxmlformats.org/officeDocument/2006/relationships/header" Target="header1.xm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https://education.delaware.gov/families/college-career-life/college-scholarship-financial-aid/choose-your-path/approved-colleges-and-institutions/" TargetMode="Externa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Relationship Id="rId8" Type="http://schemas.openxmlformats.org/officeDocument/2006/relationships/hyperlink" Target="https://education.delaware.gov/families/college-career-life/college-scholarship-financial-aid/choose-your-path/academic-common-market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fmfRsUVRBOJ1x8MPLeahrVLlxuQ==">CgMxLjA4AHIhMS0ybTdhSG9VT1ctTXN6WDRxZFRwRy1qcWFEbThZWlBs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Launch Into Your Future</dc:creator>
</cp:coreProperties>
</file>