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09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College Persistence and Stop-Out Recovery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Stopping out does not have to end a college plan; the return route begins by identifying holds, academic standing, aid status, and the institution's readmission process.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college persistence and stop-out recovery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Start with the student's goal and reason for leaving.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Separate admissions, registrar, academic standing, billing, and aid questions.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Refer each issue to the office that owns the answer.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Help the student compare return and transfer options without assuming credits will move.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Set a dated follow-up.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Readmission rules and deadlines are institution-specific.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Academic standing, balances, transcripts, and financial-aid eligibility may require separate actions.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realistic return plan includes course load, support, cost, and a check-back date.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readmission, debt resolution, credit transfer, aid eligibility, academic forgiveness, or a completion date.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holds, standing, aid, and readmission requirements with each responsible institution office.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Policies.Dtcc.Edu: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Desu.Edu: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Udel.Edu: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09 College Persistence and Stop-Out Recovery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udel.edu/students/support/student-advocacy-support/academic-concerns/" TargetMode="External"/><Relationship Id="rId10" Type="http://schemas.openxmlformats.org/officeDocument/2006/relationships/hyperlink" Target="https://studentaid.gov/understand-aid/eligibility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desu.edu/admissions/other-admissions-types/returning-student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policies.dtcc.edu/academic-policies/fresh-start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DTj2DQPhaycHXfoQdLc9YUzTEg==">CgMxLjA4AHIhMUlEMy11ZG5GbEJSc3htYUJLRlZPSGJHbXNEcUIxS1Ri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