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04  |  COLLEGE</w:t>
      </w:r>
    </w:p>
    <w:p w:rsidR="00000000" w:rsidDel="00000000" w:rsidP="00000000" w:rsidRDefault="00000000" w:rsidRPr="00000000" w14:paraId="00000003">
      <w:pPr>
        <w:pStyle w:val="Title"/>
        <w:rPr/>
      </w:pPr>
      <w:r w:rsidDel="00000000" w:rsidR="00000000" w:rsidRPr="00000000">
        <w:rPr>
          <w:rtl w:val="0"/>
        </w:rPr>
        <w:t xml:space="preserve">Campus Support Services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Campus Support Services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Students are more likely to persist when they know which campus office to contact, ask early, and follow through before a small concern becomes a larger barrier.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campus support services,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List the academic, personal, financial, accessibility, or basic-needs concern.</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Find the official campus office that owns that concern.</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Ask what documents, appointment, referral, or intake step is required.</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04 Campus Support Services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tcc.edu/student-resources/learning-support/" TargetMode="External"/><Relationship Id="rId12" Type="http://schemas.openxmlformats.org/officeDocument/2006/relationships/footer" Target="footer1.xml"/><Relationship Id="rId9" Type="http://schemas.openxmlformats.org/officeDocument/2006/relationships/hyperlink" Target="https://www.dtcc.edu/suppor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dtcc.edu/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FYMxOeoUdGXVffV3xL3SKuWARA==">CgMxLjA4AHIhMUpzYmJydUY2SFV2Q3M1RzVzZjhrT3RhSGVQX2lmczUw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