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76" w:lineRule="auto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tbl>
      <w:tblPr>
        <w:tblW w:w="951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210"/>
        <w:gridCol w:w="420"/>
        <w:gridCol w:w="2885"/>
        <w:gridCol w:w="160"/>
        <w:gridCol w:w="240"/>
        <w:gridCol w:w="1440"/>
        <w:gridCol w:w="1655"/>
        <w:gridCol w:w="160"/>
      </w:tblGrid>
      <w:tr>
        <w:tblPrEx>
          <w:shd w:val="clear" w:color="auto" w:fill="ced7e7"/>
        </w:tblPrEx>
        <w:trPr>
          <w:trHeight w:val="380" w:hRule="atLeast"/>
        </w:trPr>
        <w:tc>
          <w:tcPr>
            <w:tcW w:type="dxa" w:w="23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School Name</w:t>
            </w:r>
          </w:p>
        </w:tc>
        <w:tc>
          <w:tcPr>
            <w:tcW w:type="dxa" w:w="7170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3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School Counselor Name</w:t>
            </w:r>
          </w:p>
        </w:tc>
        <w:tc>
          <w:tcPr>
            <w:tcW w:type="dxa" w:w="3915"/>
            <w:gridSpan w:val="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Type here</w:t>
            </w:r>
          </w:p>
        </w:tc>
        <w:tc>
          <w:tcPr>
            <w:tcW w:type="dxa" w:w="14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School Year</w:t>
            </w:r>
          </w:p>
        </w:tc>
        <w:tc>
          <w:tcPr>
            <w:tcW w:type="dxa" w:w="1815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Type here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3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Lesson Title/Topic</w:t>
            </w:r>
          </w:p>
        </w:tc>
        <w:tc>
          <w:tcPr>
            <w:tcW w:type="dxa" w:w="7170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The College Essay: Finding Your Story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23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Participants</w:t>
            </w:r>
          </w:p>
        </w:tc>
        <w:tc>
          <w:tcPr>
            <w:tcW w:type="dxa" w:w="7170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67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Grades 11-12</w:t>
            </w:r>
          </w:p>
        </w:tc>
      </w:tr>
      <w:tr>
        <w:tblPrEx>
          <w:shd w:val="clear" w:color="auto" w:fill="ced7e7"/>
        </w:tblPrEx>
        <w:trPr>
          <w:trHeight w:val="1497" w:hRule="atLeast"/>
        </w:trPr>
        <w:tc>
          <w:tcPr>
            <w:tcW w:type="dxa" w:w="23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Setting 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Lesson(s) will be delivered in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170"/>
            <w:gridSpan w:val="8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firstLine="72"/>
              <w:rPr>
                <w:rFonts w:ascii="Aptos" w:cs="Aptos" w:hAnsi="Aptos" w:eastAsia="Aptos"/>
                <w:sz w:val="20"/>
                <w:szCs w:val="20"/>
                <w:shd w:val="nil" w:color="auto" w:fill="auto"/>
              </w:rPr>
            </w:pPr>
            <w:r>
              <w:rPr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Aptos" w:cs="Aptos" w:hAnsi="Aptos" w:eastAsia="Aptos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Classroom (Tier 1 whole-class instruction or Tier 2 specific classroom )</w:t>
            </w:r>
          </w:p>
          <w:p>
            <w:pPr>
              <w:pStyle w:val="Body"/>
              <w:widowControl w:val="1"/>
              <w:bidi w:val="0"/>
              <w:ind w:left="0" w:right="0" w:firstLine="72"/>
              <w:jc w:val="left"/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Large Group  (grade-level or multi-class instruction)  </w:t>
            </w:r>
          </w:p>
          <w:p>
            <w:pPr>
              <w:pStyle w:val="Body"/>
              <w:widowControl w:val="1"/>
              <w:bidi w:val="0"/>
              <w:ind w:left="0" w:right="0" w:firstLine="72"/>
              <w:jc w:val="left"/>
              <w:rPr>
                <w:rFonts w:ascii="Aptos" w:cs="Aptos" w:hAnsi="Aptos" w:eastAsia="Aptos"/>
                <w:shd w:val="nil" w:color="auto" w:fill="auto"/>
                <w:rtl w:val="0"/>
              </w:rPr>
            </w:pPr>
            <w:r>
              <w:rPr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Small groups (single session delivered to a group of students, 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br w:type="textWrapping"/>
              <w:t xml:space="preserve">            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ex., junior planning conferences)</w:t>
            </w:r>
            <w:r>
              <w:rPr>
                <w:rFonts w:ascii="Aptos" w:cs="Aptos" w:hAnsi="Aptos" w:eastAsia="Aptos"/>
                <w:shd w:val="nil" w:color="auto" w:fill="auto"/>
                <w:rtl w:val="0"/>
                <w:lang w:val="en-US"/>
              </w:rPr>
              <w:t xml:space="preserve">   </w:t>
            </w:r>
          </w:p>
          <w:p>
            <w:pPr>
              <w:pStyle w:val="Body"/>
              <w:widowControl w:val="1"/>
              <w:bidi w:val="0"/>
              <w:ind w:left="0" w:right="0" w:firstLine="72"/>
              <w:jc w:val="left"/>
              <w:rPr>
                <w:rtl w:val="0"/>
              </w:rPr>
            </w:pPr>
            <w:r>
              <w:rPr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Individual  (one-on-one student instruction)  ex. senior credit checks       </w:t>
            </w:r>
          </w:p>
        </w:tc>
      </w:tr>
      <w:tr>
        <w:tblPrEx>
          <w:shd w:val="clear" w:color="auto" w:fill="ced7e7"/>
        </w:tblPrEx>
        <w:trPr>
          <w:trHeight w:val="2140" w:hRule="atLeast"/>
        </w:trPr>
        <w:tc>
          <w:tcPr>
            <w:tcW w:type="dxa" w:w="23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rPr>
                <w:rFonts w:ascii="Aptos" w:cs="Aptos" w:hAnsi="Aptos" w:eastAsia="Aptos"/>
                <w:sz w:val="18"/>
                <w:szCs w:val="18"/>
                <w:shd w:val="nil" w:color="auto" w:fill="auto"/>
              </w:rPr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Reason for this lesson: 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ptos" w:cs="Aptos" w:hAnsi="Aptos" w:eastAsia="Aptos"/>
                <w:sz w:val="18"/>
                <w:szCs w:val="18"/>
                <w:shd w:val="nil" w:color="auto" w:fill="auto"/>
                <w:rtl w:val="0"/>
                <w:lang w:val="en-US"/>
              </w:rPr>
              <w:t>Select from each:</w:t>
            </w:r>
          </w:p>
          <w:p>
            <w:pPr>
              <w:pStyle w:val="Body"/>
              <w:widowControl w:val="1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Aptos" w:cs="Aptos" w:hAnsi="Aptos" w:eastAsia="Aptos"/>
                <w:b w:val="1"/>
                <w:bCs w:val="1"/>
                <w:sz w:val="18"/>
                <w:szCs w:val="18"/>
                <w:rtl w:val="0"/>
              </w:rPr>
            </w:pP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"https://www.schoolcounselor.org/getmedia/7428a787-a452-4abb-afec-d78ec77870cd/mindsets-behaviors.pdf"</w:instrText>
            </w: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Aptos" w:cs="Aptos" w:hAnsi="Aptos" w:eastAsia="Aptos"/>
                <w:b w:val="1"/>
                <w:bCs w:val="1"/>
                <w:outline w:val="0"/>
                <w:color w:val="0000ff"/>
                <w:sz w:val="18"/>
                <w:szCs w:val="18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Life-Readiness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</w:rPr>
              <w:fldChar w:fldCharType="end" w:fldLock="0"/>
            </w:r>
            <w:r>
              <w:rPr>
                <w:rStyle w:val="None"/>
                <w:rFonts w:ascii="Aptos" w:cs="Aptos" w:hAnsi="Aptos" w:eastAsia="Aptos"/>
                <w:b w:val="0"/>
                <w:bCs w:val="0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– </w:t>
            </w:r>
            <w:r>
              <w:rPr>
                <w:rStyle w:val="None"/>
                <w:rFonts w:ascii="Aptos" w:cs="Aptos" w:hAnsi="Aptos" w:eastAsia="Aptos"/>
                <w:b w:val="0"/>
                <w:bCs w:val="0"/>
                <w:sz w:val="18"/>
                <w:szCs w:val="18"/>
                <w:shd w:val="nil" w:color="auto" w:fill="auto"/>
                <w:rtl w:val="0"/>
                <w:lang w:val="en-US"/>
              </w:rPr>
              <w:t>select no more than one category</w:t>
            </w:r>
          </w:p>
          <w:p>
            <w:pPr>
              <w:pStyle w:val="Body"/>
              <w:widowControl w:val="1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Aptos" w:cs="Aptos" w:hAnsi="Aptos" w:eastAsia="Aptos"/>
                <w:b w:val="1"/>
                <w:bCs w:val="1"/>
                <w:sz w:val="18"/>
                <w:szCs w:val="18"/>
                <w:rtl w:val="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Academic Success</w:t>
            </w:r>
            <w:r>
              <w:rPr>
                <w:rStyle w:val="None"/>
                <w:rFonts w:ascii="Aptos" w:cs="Aptos" w:hAnsi="Aptos" w:eastAsia="Aptos"/>
                <w:b w:val="0"/>
                <w:bCs w:val="0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  - select any category that applies</w:t>
            </w:r>
          </w:p>
        </w:tc>
        <w:tc>
          <w:tcPr>
            <w:tcW w:type="dxa" w:w="3515"/>
            <w:gridSpan w:val="3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Life-Readiness</w:t>
            </w:r>
          </w:p>
          <w:p>
            <w:pPr>
              <w:pStyle w:val="Body"/>
              <w:widowControl w:val="1"/>
              <w:bidi w:val="0"/>
              <w:ind w:left="720" w:right="0" w:hanging="56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Learning Strategies</w:t>
            </w:r>
          </w:p>
          <w:p>
            <w:pPr>
              <w:pStyle w:val="Body"/>
              <w:widowControl w:val="1"/>
              <w:bidi w:val="0"/>
              <w:ind w:left="720" w:right="0" w:hanging="56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Self-Management Skills</w:t>
            </w:r>
          </w:p>
          <w:p>
            <w:pPr>
              <w:pStyle w:val="Body"/>
              <w:widowControl w:val="1"/>
              <w:bidi w:val="0"/>
              <w:ind w:left="720" w:right="0" w:hanging="560"/>
              <w:jc w:val="left"/>
              <w:rPr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Social Skills</w:t>
            </w:r>
          </w:p>
        </w:tc>
        <w:tc>
          <w:tcPr>
            <w:tcW w:type="dxa" w:w="3655"/>
            <w:gridSpan w:val="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Academic Success</w:t>
            </w:r>
          </w:p>
          <w:p>
            <w:pPr>
              <w:pStyle w:val="Body"/>
              <w:widowControl w:val="1"/>
              <w:bidi w:val="0"/>
              <w:ind w:left="230" w:right="0" w:firstLine="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Improve academic performance</w:t>
            </w:r>
          </w:p>
          <w:p>
            <w:pPr>
              <w:pStyle w:val="Body"/>
              <w:widowControl w:val="1"/>
              <w:bidi w:val="0"/>
              <w:ind w:left="230" w:right="0" w:firstLine="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Meet benchmarks </w:t>
            </w:r>
          </w:p>
          <w:p>
            <w:pPr>
              <w:pStyle w:val="Body"/>
              <w:widowControl w:val="1"/>
              <w:bidi w:val="0"/>
              <w:ind w:left="230" w:right="0" w:firstLine="0"/>
              <w:jc w:val="left"/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Improve test scores</w:t>
            </w:r>
          </w:p>
          <w:p>
            <w:pPr>
              <w:pStyle w:val="Body"/>
              <w:widowControl w:val="1"/>
              <w:bidi w:val="0"/>
              <w:ind w:left="590" w:right="0" w:hanging="360"/>
              <w:jc w:val="left"/>
              <w:rPr>
                <w:rtl w:val="0"/>
              </w:rPr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Meet promotion/graduation           requirements </w:t>
            </w:r>
          </w:p>
        </w:tc>
      </w:tr>
      <w:tr>
        <w:tblPrEx>
          <w:shd w:val="clear" w:color="auto" w:fill="ced7e7"/>
        </w:tblPrEx>
        <w:trPr>
          <w:trHeight w:val="560" w:hRule="atLeast"/>
        </w:trPr>
        <w:tc>
          <w:tcPr>
            <w:tcW w:type="dxa" w:w="2970"/>
            <w:gridSpan w:val="3"/>
            <w:tcBorders>
              <w:top w:val="single" w:color="ffffff" w:sz="48" w:space="0" w:shadow="0" w:frame="0"/>
              <w:left w:val="nil"/>
              <w:bottom w:val="single" w:color="ffffff" w:sz="48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</w:pPr>
            <w:r>
              <w:rPr>
                <w:rStyle w:val="None"/>
                <w:rFonts w:ascii="Noto Sans Symbols" w:cs="Noto Sans Symbols" w:hAnsi="Noto Sans Symbols" w:eastAsia="Noto Sans Symbols"/>
                <w:sz w:val="24"/>
                <w:szCs w:val="24"/>
                <w:shd w:val="nil" w:color="auto" w:fill="auto"/>
                <w:rtl w:val="0"/>
                <w:lang w:val="en-US"/>
              </w:rPr>
              <w:t>⌧</w:t>
            </w:r>
            <w:r>
              <w:rPr>
                <w:rStyle w:val="None"/>
                <w:rFonts w:ascii="Aptos" w:cs="Aptos" w:hAnsi="Aptos" w:eastAsia="Aptos"/>
                <w:sz w:val="36"/>
                <w:szCs w:val="3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  <w:lang w:val="en-US"/>
              </w:rPr>
              <w:t>Single Lesson</w:t>
            </w:r>
            <w:r>
              <w:rPr>
                <w:rStyle w:val="None"/>
                <w:rFonts w:ascii="Aptos" w:cs="Aptos" w:hAnsi="Aptos" w:eastAsia="Aptos"/>
                <w:sz w:val="36"/>
                <w:szCs w:val="36"/>
                <w:shd w:val="nil" w:color="auto" w:fill="auto"/>
                <w:rtl w:val="0"/>
                <w:lang w:val="en-US"/>
              </w:rPr>
              <w:t xml:space="preserve">               </w:t>
            </w:r>
          </w:p>
        </w:tc>
        <w:tc>
          <w:tcPr>
            <w:tcW w:type="dxa" w:w="6380"/>
            <w:gridSpan w:val="5"/>
            <w:tcBorders>
              <w:top w:val="single" w:color="ffffff" w:sz="48" w:space="0" w:shadow="0" w:frame="0"/>
              <w:left w:val="nil"/>
              <w:bottom w:val="single" w:color="ffffff" w:sz="48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tabs>
                <w:tab w:val="left" w:pos="860"/>
                <w:tab w:val="left" w:pos="6020"/>
                <w:tab w:val="left" w:pos="7680"/>
                <w:tab w:val="left" w:pos="8640"/>
                <w:tab w:val="left" w:pos="8690"/>
              </w:tabs>
            </w:pPr>
            <w:r>
              <w:rPr>
                <w:rStyle w:val="None"/>
                <w:rFonts w:ascii="MS Gothic" w:cs="MS Gothic" w:hAnsi="MS Gothic" w:eastAsia="MS Gothic"/>
                <w:sz w:val="24"/>
                <w:szCs w:val="24"/>
                <w:u w:val="none"/>
                <w:shd w:val="nil" w:color="auto" w:fill="auto"/>
                <w:rtl w:val="0"/>
                <w:lang w:val="en-US"/>
              </w:rPr>
              <w:t>☐</w:t>
            </w:r>
            <w:r>
              <w:rPr>
                <w:rStyle w:val="None"/>
                <w:rFonts w:ascii="Aptos" w:cs="Aptos" w:hAnsi="Aptos" w:eastAsia="Aptos"/>
                <w:sz w:val="36"/>
                <w:szCs w:val="36"/>
                <w:u w:val="none"/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u w:val="none"/>
                <w:shd w:val="nil" w:color="auto" w:fill="auto"/>
                <w:rtl w:val="0"/>
                <w:lang w:val="en-US"/>
              </w:rPr>
              <w:t>Unit of Lessons</w:t>
            </w:r>
            <w:r>
              <w:rPr>
                <w:rStyle w:val="None"/>
                <w:rFonts w:ascii="Aptos" w:cs="Aptos" w:hAnsi="Aptos" w:eastAsia="Aptos"/>
                <w:sz w:val="22"/>
                <w:szCs w:val="22"/>
                <w:u w:val="none"/>
                <w:shd w:val="nil" w:color="auto" w:fill="auto"/>
                <w:rtl w:val="0"/>
                <w:lang w:val="en-US"/>
              </w:rPr>
              <w:t xml:space="preserve">:    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u w:val="none"/>
                <w:shd w:val="nil" w:color="auto" w:fill="auto"/>
                <w:rtl w:val="0"/>
                <w:lang w:val="en-US"/>
              </w:rPr>
              <w:t xml:space="preserve">Lesson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u w:val="none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0"/>
                <w:szCs w:val="20"/>
                <w:u w:val="none"/>
                <w:shd w:val="nil" w:color="auto" w:fill="auto"/>
                <w:rtl w:val="0"/>
                <w:lang w:val="en-US"/>
              </w:rPr>
              <w:t xml:space="preserve">  of </w:t>
            </w:r>
            <w:r>
              <w:rPr>
                <w:rStyle w:val="None"/>
                <w:rFonts w:ascii="Open Sans" w:cs="Open Sans" w:hAnsi="Open Sans" w:eastAsia="Open Sans"/>
                <w:sz w:val="22"/>
                <w:szCs w:val="22"/>
                <w:u w:val="none"/>
                <w:shd w:val="nil" w:color="auto" w:fill="auto"/>
                <w:rtl w:val="0"/>
                <w:lang w:val="en-US"/>
              </w:rPr>
              <w:t>Type here</w:t>
            </w:r>
            <w:r>
              <w:rPr>
                <w:rStyle w:val="None"/>
                <w:rFonts w:ascii="Aptos" w:cs="Aptos" w:hAnsi="Aptos" w:eastAsia="Aptos"/>
                <w:sz w:val="22"/>
                <w:szCs w:val="22"/>
                <w:u w:val="none"/>
                <w:shd w:val="nil" w:color="auto" w:fill="auto"/>
                <w:lang w:val="en-US"/>
              </w:rPr>
              <w:tab/>
            </w:r>
            <w:r>
              <w:rPr>
                <w:rStyle w:val="None"/>
                <w:rFonts w:ascii="Aptos" w:cs="Aptos" w:hAnsi="Aptos" w:eastAsia="Aptos"/>
                <w:sz w:val="22"/>
                <w:szCs w:val="22"/>
                <w:u w:val="single"/>
                <w:shd w:val="nil" w:color="auto" w:fill="auto"/>
                <w:rtl w:val="0"/>
                <w:lang w:val="en-US"/>
              </w:rPr>
              <w:t xml:space="preserve">                         </w:t>
            </w:r>
          </w:p>
        </w:tc>
        <w:tc>
          <w:tcPr>
            <w:tcW w:type="dxa" w:w="160"/>
            <w:tcBorders>
              <w:top w:val="single" w:color="ffffff" w:sz="48" w:space="0" w:shadow="0" w:frame="0"/>
              <w:left w:val="nil"/>
              <w:bottom w:val="single" w:color="ffffff" w:sz="4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18" w:hRule="atLeast"/>
        </w:trPr>
        <w:tc>
          <w:tcPr>
            <w:tcW w:type="dxa" w:w="9510"/>
            <w:gridSpan w:val="9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2f2f2"/>
                <w:sz w:val="24"/>
                <w:szCs w:val="24"/>
                <w:u w:color="f2f2f2"/>
                <w:shd w:val="nil" w:color="auto" w:fill="auto"/>
                <w:lang w:val="en-US"/>
                <w14:textFill>
                  <w14:solidFill>
                    <w14:srgbClr w14:val="F2F2F2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3925"/>
                  <wp:effectExtent l="0" t="0" r="0" b="0"/>
                  <wp:docPr id="1073741827" name="officeArt object" descr="ASCA Student Standards, Objectives and Assessment Items for Less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ASCA Student Standards, Objectives and Assessment Items for Lesson" descr="ASCA Student Standards, Objectives and Assessment Items for Lesson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39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2550"/>
            <w:gridSpan w:val="2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1"/>
              <w:jc w:val="center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Behavior Standards </w:t>
            </w:r>
          </w:p>
        </w:tc>
        <w:tc>
          <w:tcPr>
            <w:tcW w:type="dxa" w:w="3465"/>
            <w:gridSpan w:val="3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1"/>
              <w:jc w:val="center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Learning Objectives</w:t>
            </w:r>
          </w:p>
        </w:tc>
        <w:tc>
          <w:tcPr>
            <w:tcW w:type="dxa" w:w="3495"/>
            <w:gridSpan w:val="4"/>
            <w:tcBorders>
              <w:top w:val="nil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widowControl w:val="1"/>
              <w:jc w:val="center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Pre-/Post-Assessment Statements</w:t>
            </w:r>
          </w:p>
        </w:tc>
      </w:tr>
      <w:tr>
        <w:tblPrEx>
          <w:shd w:val="clear" w:color="auto" w:fill="ced7e7"/>
        </w:tblPrEx>
        <w:trPr>
          <w:trHeight w:val="550" w:hRule="atLeast"/>
        </w:trPr>
        <w:tc>
          <w:tcPr>
            <w:tcW w:type="dxa" w:w="2550"/>
            <w:gridSpan w:val="2"/>
            <w:vMerge w:val="restart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  <w:keepNext w:val="0"/>
              <w:keepLines w:val="0"/>
              <w:widowControl w:val="1"/>
              <w:spacing w:before="0"/>
              <w:rPr>
                <w:rStyle w:val="None"/>
                <w:b w:val="0"/>
                <w:bCs w:val="0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LS 1 Demonstrate critical-thinking skills to make informed decisions.</w:t>
            </w:r>
          </w:p>
          <w:p>
            <w:pPr>
              <w:pStyle w:val="Heading 2"/>
              <w:keepNext w:val="0"/>
              <w:keepLines w:val="0"/>
              <w:bidi w:val="0"/>
              <w:ind w:left="0" w:right="0" w:firstLine="0"/>
              <w:jc w:val="left"/>
              <w:rPr>
                <w:rStyle w:val="None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LS 5 Apply the decision-making process to individual learning.</w:t>
            </w:r>
          </w:p>
          <w:p>
            <w:pPr>
              <w:pStyle w:val="Heading 2"/>
              <w:keepNext w:val="0"/>
              <w:keepLines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LS 7 Identify resources and supports available to achieve goals.</w:t>
            </w:r>
          </w:p>
        </w:tc>
        <w:tc>
          <w:tcPr>
            <w:tcW w:type="dxa" w:w="3465"/>
            <w:gridSpan w:val="3"/>
            <w:vMerge w:val="restart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3"/>
              <w:keepNext w:val="0"/>
              <w:keepLines w:val="0"/>
              <w:widowControl w:val="1"/>
              <w:spacing w:before="0"/>
              <w:rPr>
                <w:rStyle w:val="None"/>
                <w:b w:val="0"/>
                <w:bCs w:val="0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Students will explain the purpose of the college essay and identify what admissions officers hope to learn from it.</w:t>
            </w:r>
          </w:p>
          <w:p>
            <w:pPr>
              <w:pStyle w:val="Heading 3"/>
              <w:keepNext w:val="0"/>
              <w:keepLines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Students will distinguish between a college essay's surface topic and its deeper meaning.</w:t>
            </w:r>
          </w:p>
        </w:tc>
        <w:tc>
          <w:tcPr>
            <w:tcW w:type="dxa" w:w="3495"/>
            <w:gridSpan w:val="4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3"/>
              <w:keepNext w:val="0"/>
              <w:keepLines w:val="0"/>
              <w:widowControl w:val="1"/>
              <w:spacing w:before="0"/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Statement 1: I understand the purpose of the college essay.</w:t>
            </w:r>
          </w:p>
        </w:tc>
      </w:tr>
      <w:tr>
        <w:tblPrEx>
          <w:shd w:val="clear" w:color="auto" w:fill="ced7e7"/>
        </w:tblPrEx>
        <w:trPr>
          <w:trHeight w:val="1370" w:hRule="atLeast"/>
        </w:trPr>
        <w:tc>
          <w:tcPr>
            <w:tcW w:type="dxa" w:w="2550"/>
            <w:gridSpan w:val="2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65"/>
            <w:gridSpan w:val="3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95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3"/>
              <w:keepNext w:val="0"/>
              <w:keepLines w:val="0"/>
              <w:widowControl w:val="1"/>
              <w:spacing w:before="0"/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Statement 2: I can identify experiences that could become meaningful college essays.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2550"/>
            <w:gridSpan w:val="2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65"/>
            <w:gridSpan w:val="3"/>
            <w:vMerge w:val="restart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3"/>
              <w:keepNext w:val="0"/>
              <w:keepLines w:val="0"/>
              <w:spacing w:before="0"/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Students will generate multiple possible college essay topics and select one for future drafting.</w:t>
            </w:r>
          </w:p>
        </w:tc>
        <w:tc>
          <w:tcPr>
            <w:tcW w:type="dxa" w:w="3495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3"/>
              <w:keepNext w:val="0"/>
              <w:keepLines w:val="0"/>
              <w:widowControl w:val="1"/>
              <w:spacing w:before="0"/>
            </w:pPr>
            <w:r>
              <w:rPr>
                <w:rStyle w:val="None"/>
                <w:rFonts w:ascii="Open Sans" w:cs="Open Sans" w:hAnsi="Open Sans" w:eastAsia="Open San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Statement 3: I know what I want colleges to learn about me through my essay.</w:t>
            </w:r>
          </w:p>
        </w:tc>
      </w:tr>
      <w:tr>
        <w:tblPrEx>
          <w:shd w:val="clear" w:color="auto" w:fill="ced7e7"/>
        </w:tblPrEx>
        <w:trPr>
          <w:trHeight w:val="460" w:hRule="atLeast"/>
        </w:trPr>
        <w:tc>
          <w:tcPr>
            <w:tcW w:type="dxa" w:w="2550"/>
            <w:gridSpan w:val="2"/>
            <w:vMerge w:val="continue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65"/>
            <w:gridSpan w:val="3"/>
            <w:vMerge w:val="continue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</w:tcPr>
          <w:p/>
        </w:tc>
        <w:tc>
          <w:tcPr>
            <w:tcW w:type="dxa" w:w="3495"/>
            <w:gridSpan w:val="4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Body"/>
        <w:widowControl w:val="1"/>
        <w:spacing w:after="90"/>
        <w:rPr>
          <w:rStyle w:val="None"/>
          <w:rFonts w:ascii="Aptos" w:cs="Aptos" w:hAnsi="Aptos" w:eastAsia="Aptos"/>
          <w:sz w:val="2"/>
          <w:szCs w:val="2"/>
        </w:rPr>
      </w:pPr>
    </w:p>
    <w:tbl>
      <w:tblPr>
        <w:tblW w:w="97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540"/>
        <w:gridCol w:w="160"/>
      </w:tblGrid>
      <w:tr>
        <w:tblPrEx>
          <w:shd w:val="clear" w:color="auto" w:fill="ced7e7"/>
        </w:tblPrEx>
        <w:trPr>
          <w:trHeight w:val="679" w:hRule="atLeast"/>
        </w:trPr>
        <w:tc>
          <w:tcPr>
            <w:tcW w:type="dxa" w:w="9700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4"/>
                <w:szCs w:val="24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4227"/>
                  <wp:effectExtent l="0" t="0" r="0" b="0"/>
                  <wp:docPr id="1073741828" name="officeArt object" descr="Materials: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Materials:" descr="Materials: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422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1010" w:hRule="atLeast"/>
        </w:trPr>
        <w:tc>
          <w:tcPr>
            <w:tcW w:type="dxa" w:w="954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38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58" w:firstLine="0"/>
            </w:pPr>
            <w:r>
              <w:rPr>
                <w:rStyle w:val="None"/>
                <w:rFonts w:ascii="Times New Roman" w:cs="Aptos" w:hAnsi="Times New Roman" w:eastAsia="Aptos"/>
                <w:sz w:val="24"/>
                <w:szCs w:val="24"/>
                <w:shd w:val="nil" w:color="auto" w:fill="auto"/>
                <w:rtl w:val="0"/>
                <w:lang w:val="en-US"/>
              </w:rPr>
              <w:t>Projector, Slides, Timer, Printed or Digital Workbooks, Printed or Digital Sample Essays, pens/pencils, one-to-one devices if doing the Workbook and Exit Tickets digitally, student flyer, Lesson Differentiations/Extensions, Parent Announcement/Email</w:t>
            </w:r>
          </w:p>
        </w:tc>
        <w:tc>
          <w:tcPr>
            <w:tcW w:type="dxa" w:w="160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after="90"/>
        <w:rPr>
          <w:rStyle w:val="None"/>
          <w:rFonts w:ascii="Aptos" w:cs="Aptos" w:hAnsi="Aptos" w:eastAsia="Aptos"/>
          <w:sz w:val="2"/>
          <w:szCs w:val="2"/>
        </w:rPr>
      </w:pPr>
    </w:p>
    <w:p>
      <w:pPr>
        <w:pStyle w:val="Body"/>
      </w:pPr>
    </w:p>
    <w:tbl>
      <w:tblPr>
        <w:tblW w:w="92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35"/>
        <w:gridCol w:w="6930"/>
      </w:tblGrid>
      <w:tr>
        <w:tblPrEx>
          <w:shd w:val="clear" w:color="auto" w:fill="ced7e7"/>
        </w:tblPrEx>
        <w:trPr>
          <w:trHeight w:val="606" w:hRule="atLeast"/>
        </w:trPr>
        <w:tc>
          <w:tcPr>
            <w:tcW w:type="dxa" w:w="9265"/>
            <w:gridSpan w:val="2"/>
            <w:tcBorders>
              <w:top w:val="single" w:color="ffffff" w:sz="48" w:space="0" w:shadow="0" w:frame="0"/>
              <w:left w:val="single" w:color="ffffff" w:sz="48" w:space="0" w:shadow="0" w:frame="0"/>
              <w:bottom w:val="nil"/>
              <w:right w:val="single" w:color="ffffff" w:sz="48" w:space="0" w:shadow="0" w:frame="0"/>
            </w:tcBorders>
            <w:shd w:val="clear" w:color="auto" w:fill="8c151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widowControl w:val="1"/>
            </w:pPr>
            <w:r>
              <w:rPr>
                <w:rStyle w:val="None"/>
                <w:rFonts w:ascii="Aptos" w:cs="Aptos" w:hAnsi="Aptos" w:eastAsia="Aptos"/>
                <w:b w:val="1"/>
                <w:bCs w:val="1"/>
                <w:outline w:val="0"/>
                <w:color w:val="ffffff"/>
                <w:sz w:val="24"/>
                <w:szCs w:val="24"/>
                <w:u w:color="ffffff"/>
                <w:shd w:val="nil" w:color="auto" w:fill="auto"/>
                <w:lang w:val="en-US"/>
                <w14:textFill>
                  <w14:solidFill>
                    <w14:srgbClr w14:val="FFFFFF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5689473" cy="304227"/>
                  <wp:effectExtent l="0" t="0" r="0" b="0"/>
                  <wp:docPr id="1073741829" name="officeArt object" descr="Step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Steps" descr="Steps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473" cy="30422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9265"/>
            <w:gridSpan w:val="2"/>
            <w:tcBorders>
              <w:top w:val="nil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8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3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Introduce lesson and objective: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Introduce the purpose of the college essay and explain that the workshop focuses on discovering meaningful stories rather than writing a complete essay. Review lesson objectives and discuss how the essay differs from a traditional English assignment.</w:t>
            </w:r>
          </w:p>
        </w:tc>
      </w:tr>
      <w:tr>
        <w:tblPrEx>
          <w:shd w:val="clear" w:color="auto" w:fill="ced7e7"/>
        </w:tblPrEx>
        <w:trPr>
          <w:trHeight w:val="132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5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Teach content: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152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ind w:left="72" w:firstLine="0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Use the presentation to explain the purpose and structure of the college essay. Read and analyze sample essays, facilitate the College Admissions Committee role-play activity, and guide students through the "Surface Topic vs. Real Topic" discussion. Introduce the concepts of "Think Small," authentic voice, reflection, and strategic topic selection.</w:t>
            </w:r>
          </w:p>
        </w:tc>
      </w:tr>
      <w:tr>
        <w:tblPrEx>
          <w:shd w:val="clear" w:color="auto" w:fill="ced7e7"/>
        </w:tblPrEx>
        <w:trPr>
          <w:trHeight w:val="228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7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Practice content: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spacing w:before="240" w:after="240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Students complete workbook activities throughout the lesson, including: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Reflecting on sample essays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Brainstorming meaningful moments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Connecting experiences to Common App prompts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Reflecting on what they want colleges to learn about them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Narrowing possible essay topics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Creating an action plan for drafting</w:t>
            </w:r>
            <w:r>
              <w:rPr>
                <w:rStyle w:val="None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280" w:hRule="atLeast"/>
        </w:trPr>
        <w:tc>
          <w:tcPr>
            <w:tcW w:type="dxa" w:w="2335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numPr>
                <w:ilvl w:val="0"/>
                <w:numId w:val="9"/>
              </w:numPr>
              <w:rPr>
                <w:rFonts w:ascii="Aptos" w:cs="Aptos" w:hAnsi="Aptos" w:eastAsia="Aptos"/>
                <w:b w:val="1"/>
                <w:bCs w:val="1"/>
                <w:sz w:val="20"/>
                <w:szCs w:val="20"/>
                <w:lang w:val="en-US"/>
              </w:rPr>
            </w:pPr>
            <w:r>
              <w:rPr>
                <w:rStyle w:val="None"/>
                <w:rFonts w:ascii="Aptos" w:cs="Aptos" w:hAnsi="Aptos" w:eastAsia="Aptos"/>
                <w:b w:val="0"/>
                <w:bCs w:val="0"/>
                <w:sz w:val="20"/>
                <w:szCs w:val="20"/>
                <w:shd w:val="nil" w:color="auto" w:fill="auto"/>
                <w:rtl w:val="0"/>
                <w:lang w:val="en-US"/>
              </w:rPr>
              <w:t>Summarize:</w:t>
            </w:r>
          </w:p>
        </w:tc>
        <w:tc>
          <w:tcPr>
            <w:tcW w:type="dxa" w:w="6930"/>
            <w:tcBorders>
              <w:top w:val="single" w:color="ffffff" w:sz="48" w:space="0" w:shadow="0" w:frame="0"/>
              <w:left w:val="single" w:color="ffffff" w:sz="48" w:space="0" w:shadow="0" w:frame="0"/>
              <w:bottom w:val="single" w:color="ffffff" w:sz="48" w:space="0" w:shadow="0" w:frame="0"/>
              <w:right w:val="single" w:color="ffffff" w:sz="48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1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Review the key takeaways: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Great essays often begin with small moments.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The meaning behind the topic matters more than the topic itself.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The essay should help one understand the person behind the application.</w:t>
            </w:r>
          </w:p>
          <w:p>
            <w:pPr>
              <w:pStyle w:val="Body"/>
              <w:widowControl w:val="1"/>
              <w:bidi w:val="0"/>
              <w:ind w:left="0" w:right="0" w:firstLine="0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Students leave with multiple possible essay topics and a plan for beginning their first draft.</w:t>
            </w:r>
          </w:p>
          <w:p>
            <w:pPr>
              <w:pStyle w:val="Body"/>
              <w:widowControl w:val="1"/>
              <w:bidi w:val="0"/>
              <w:spacing w:before="240" w:after="240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Encourage students to continue brainstorming, begin drafting, and seek feedback from trusted adults.</w:t>
            </w:r>
          </w:p>
        </w:tc>
      </w:tr>
    </w:tbl>
    <w:p>
      <w:pPr>
        <w:pStyle w:val="Body"/>
      </w:pPr>
    </w:p>
    <w:p>
      <w:pPr>
        <w:pStyle w:val="Body"/>
        <w:jc w:val="center"/>
      </w:pPr>
      <w:r>
        <w:rPr>
          <w:rStyle w:val="None"/>
          <w:rFonts w:ascii="Aptos" w:cs="Aptos" w:hAnsi="Aptos" w:eastAsia="Aptos"/>
          <w:b w:val="1"/>
          <w:bCs w:val="1"/>
          <w:sz w:val="28"/>
          <w:szCs w:val="28"/>
          <w:rtl w:val="0"/>
          <w:lang w:val="de-DE"/>
        </w:rPr>
        <w:t>END OF PLAN</w:t>
      </w:r>
    </w:p>
    <w:sectPr>
      <w:headerReference w:type="default" r:id="rId7"/>
      <w:footerReference w:type="default" r:id="rId8"/>
      <w:pgSz w:w="12240" w:h="15840" w:orient="portrait"/>
      <w:pgMar w:top="1918" w:right="1440" w:bottom="1440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Aptos">
    <w:charset w:val="00"/>
    <w:family w:val="roman"/>
    <w:pitch w:val="default"/>
  </w:font>
  <w:font w:name="Cambria">
    <w:charset w:val="00"/>
    <w:family w:val="roman"/>
    <w:pitch w:val="default"/>
  </w:font>
  <w:font w:name="MS Gothic">
    <w:charset w:val="00"/>
    <w:family w:val="roman"/>
    <w:pitch w:val="default"/>
  </w:font>
  <w:font w:name="Noto Sans Symbol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center" w:pos="4680"/>
        <w:tab w:val="right" w:pos="9340"/>
      </w:tabs>
      <w:jc w:val="center"/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</w:pP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begin" w:fldLock="0"/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instrText xml:space="preserve"> PAGE </w:instrText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separate" w:fldLock="0"/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14:textFill>
          <w14:solidFill>
            <w14:srgbClr w14:val="000000"/>
          </w14:solidFill>
        </w14:textFill>
      </w:rPr>
      <w:fldChar w:fldCharType="end" w:fldLock="0"/>
    </w:r>
  </w:p>
  <w:p>
    <w:pPr>
      <w:pStyle w:val="Body"/>
      <w:tabs>
        <w:tab w:val="center" w:pos="4680"/>
        <w:tab w:val="right" w:pos="9340"/>
      </w:tabs>
    </w:pP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:rtl w:val="0"/>
        <w:lang w:val="en-US"/>
        <w14:textFill>
          <w14:solidFill>
            <w14:srgbClr w14:val="000000"/>
          </w14:solidFill>
        </w14:textFill>
      </w:rPr>
      <w:t>ASCA National Model</w:t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:rtl w:val="0"/>
        <w:lang w:val="en-US"/>
        <w14:textFill>
          <w14:solidFill>
            <w14:srgbClr w14:val="000000"/>
          </w14:solidFill>
        </w14:textFill>
      </w:rPr>
      <w:t xml:space="preserve">® </w:t>
    </w:r>
    <w:r>
      <w:rPr>
        <w:rFonts w:ascii="Aptos" w:cs="Aptos" w:hAnsi="Aptos" w:eastAsia="Aptos"/>
        <w:caps w:val="0"/>
        <w:smallCaps w:val="0"/>
        <w:strike w:val="0"/>
        <w:dstrike w:val="0"/>
        <w:outline w:val="0"/>
        <w:color w:val="000000"/>
        <w:sz w:val="16"/>
        <w:szCs w:val="16"/>
        <w:u w:val="none" w:color="000000"/>
        <w:shd w:val="nil" w:color="auto" w:fill="auto"/>
        <w:vertAlign w:val="baseline"/>
        <w:rtl w:val="0"/>
        <w:lang w:val="de-DE"/>
        <w14:textFill>
          <w14:solidFill>
            <w14:srgbClr w14:val="000000"/>
          </w14:solidFill>
        </w14:textFill>
      </w:rPr>
      <w:t xml:space="preserve">Fifth Edition </w:t>
      <w:tab/>
      <w:t>8/25 v2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tabs>
        <w:tab w:val="center" w:pos="4680"/>
        <w:tab w:val="right" w:pos="9340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2506973</wp:posOffset>
              </wp:positionH>
              <wp:positionV relativeFrom="page">
                <wp:posOffset>254635</wp:posOffset>
              </wp:positionV>
              <wp:extent cx="4575171" cy="591865"/>
              <wp:effectExtent l="0" t="0" r="0" b="0"/>
              <wp:wrapNone/>
              <wp:docPr id="1073741826" name="officeArt object" descr="Lesson Plan and Data Repor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5171" cy="591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</w:pPr>
                          <w:r>
                            <w:rPr>
                              <w:rFonts w:ascii="Aptos" w:cs="Aptos" w:hAnsi="Aptos" w:eastAsia="Aptos"/>
                              <w:b w:val="1"/>
                              <w:bCs w:val="1"/>
                              <w:caps w:val="0"/>
                              <w:smallCaps w:val="0"/>
                              <w:strike w:val="0"/>
                              <w:dstrike w:val="0"/>
                              <w:outline w:val="0"/>
                              <w:color w:val="ffffff"/>
                              <w:sz w:val="36"/>
                              <w:szCs w:val="36"/>
                              <w:u w:color="ffffff"/>
                              <w:vertAlign w:val="baseline"/>
                              <w:rtl w:val="0"/>
                              <w:lang w:val="en-US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Lesson Plan and Data Report</w:t>
                          </w:r>
                        </w:p>
                      </w:txbxContent>
                    </wps:txbx>
                    <wps:bodyPr wrap="square" lIns="45699" tIns="45699" rIns="45699" bIns="45699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197.4pt;margin-top:20.1pt;width:360.2pt;height:46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</w:pPr>
                    <w:r>
                      <w:rPr>
                        <w:rFonts w:ascii="Aptos" w:cs="Aptos" w:hAnsi="Aptos" w:eastAsia="Aptos"/>
                        <w:b w:val="1"/>
                        <w:bCs w:val="1"/>
                        <w:caps w:val="0"/>
                        <w:smallCaps w:val="0"/>
                        <w:strike w:val="0"/>
                        <w:dstrike w:val="0"/>
                        <w:outline w:val="0"/>
                        <w:color w:val="ffffff"/>
                        <w:sz w:val="36"/>
                        <w:szCs w:val="36"/>
                        <w:u w:color="ffffff"/>
                        <w:vertAlign w:val="baseline"/>
                        <w:rtl w:val="0"/>
                        <w:lang w:val="en-US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Lesson Plan and Data Report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w:rPr>
        <w:outline w:val="0"/>
        <w:color w:val="000000"/>
        <w:u w:color="000000"/>
        <w14:textFill>
          <w14:solidFill>
            <w14:srgbClr w14:val="000000"/>
          </w14:solidFill>
        </w14:textFill>
      </w:rPr>
      <w:drawing xmlns:a="http://schemas.openxmlformats.org/drawingml/2006/main">
        <wp:inline distT="0" distB="0" distL="0" distR="0">
          <wp:extent cx="5943473" cy="786748"/>
          <wp:effectExtent l="0" t="0" r="0" b="0"/>
          <wp:docPr id="1073741825" name="officeArt object" descr="Lesson Plan and Data Repor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esson Plan and Data Report" descr="Lesson Plan and Data Report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473" cy="78674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●"/>
      <w:lvlJc w:val="left"/>
      <w:pPr>
        <w:ind w:left="36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2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52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2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68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208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2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bullet"/>
        <w:suff w:val="tab"/>
        <w:lvlText w:val="●"/>
        <w:lvlJc w:val="left"/>
        <w:pPr>
          <w:ind w:left="38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0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23" w:hanging="23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254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26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3983" w:hanging="23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470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23" w:hanging="23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143" w:hanging="231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3"/>
  </w:num>
  <w:num w:numId="7">
    <w:abstractNumId w:val="3"/>
    <w:lvlOverride w:ilvl="0">
      <w:startOverride w:val="3"/>
    </w:lvlOverride>
  </w:num>
  <w:num w:numId="8">
    <w:abstractNumId w:val="4"/>
  </w:num>
  <w:num w:numId="9">
    <w:abstractNumId w:val="4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sz w:val="18"/>
      <w:szCs w:val="18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360" w:after="80" w:line="240" w:lineRule="auto"/>
      <w:ind w:left="0" w:right="0" w:firstLine="0"/>
      <w:jc w:val="left"/>
      <w:outlineLvl w:val="1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280" w:after="80" w:line="240" w:lineRule="auto"/>
      <w:ind w:left="0" w:right="0" w:firstLine="0"/>
      <w:jc w:val="left"/>
      <w:outlineLvl w:val="2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